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58FF8128" w:rsidR="007E7D56" w:rsidRDefault="007E7D56" w:rsidP="007E7D56">
      <w:pPr>
        <w:pStyle w:val="Zhlav"/>
        <w:jc w:val="right"/>
      </w:pPr>
      <w:r>
        <w:t>Příloha č. 2_</w:t>
      </w:r>
      <w:r w:rsidR="00C63897">
        <w:t>6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3C68FA4E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C63897">
        <w:rPr>
          <w:rFonts w:ascii="Calibri" w:hAnsi="Calibri"/>
          <w:b/>
          <w:szCs w:val="20"/>
        </w:rPr>
        <w:t>6</w:t>
      </w:r>
      <w:r w:rsidRPr="008954C6">
        <w:rPr>
          <w:rFonts w:ascii="Calibri" w:hAnsi="Calibri"/>
          <w:b/>
          <w:szCs w:val="20"/>
        </w:rPr>
        <w:t xml:space="preserve"> tvoří nedílnou součást nabídky účastníka zadávacího řízení.</w:t>
      </w:r>
    </w:p>
    <w:p w14:paraId="3441CE05" w14:textId="05D74B39" w:rsidR="003465E0" w:rsidRDefault="003465E0" w:rsidP="00F10FF7">
      <w:pPr>
        <w:shd w:val="clear" w:color="auto" w:fill="C1EAFF"/>
        <w:tabs>
          <w:tab w:val="left" w:pos="5103"/>
        </w:tabs>
        <w:ind w:left="3969" w:hanging="3969"/>
        <w:outlineLvl w:val="0"/>
        <w:rPr>
          <w:rFonts w:cs="Arial"/>
          <w:b/>
          <w:sz w:val="28"/>
          <w:szCs w:val="28"/>
        </w:rPr>
      </w:pPr>
      <w:r w:rsidRPr="00F10FF7">
        <w:rPr>
          <w:rFonts w:cs="Arial"/>
          <w:b/>
          <w:sz w:val="28"/>
          <w:szCs w:val="28"/>
        </w:rPr>
        <w:t>Název části veřejné zakázky:</w:t>
      </w:r>
      <w:r w:rsidR="007E7D56" w:rsidRPr="00F10FF7">
        <w:rPr>
          <w:rFonts w:cs="Arial"/>
          <w:b/>
          <w:sz w:val="28"/>
          <w:szCs w:val="28"/>
        </w:rPr>
        <w:tab/>
      </w:r>
      <w:r w:rsidR="00C63897">
        <w:rPr>
          <w:rFonts w:cs="Arial"/>
          <w:b/>
          <w:sz w:val="28"/>
          <w:szCs w:val="28"/>
        </w:rPr>
        <w:t>Monitory</w:t>
      </w:r>
    </w:p>
    <w:p w14:paraId="3BB5F722" w14:textId="4D0013AF" w:rsidR="00E62922" w:rsidRPr="00E62922" w:rsidRDefault="00E62922" w:rsidP="00E62922">
      <w:pPr>
        <w:shd w:val="clear" w:color="auto" w:fill="C1EAFF"/>
        <w:tabs>
          <w:tab w:val="left" w:pos="5103"/>
        </w:tabs>
        <w:ind w:left="3969" w:hanging="3969"/>
        <w:outlineLvl w:val="0"/>
        <w:rPr>
          <w:rFonts w:cs="Arial"/>
          <w:b/>
          <w:szCs w:val="20"/>
        </w:rPr>
      </w:pPr>
      <w:r>
        <w:rPr>
          <w:rFonts w:cs="Arial"/>
          <w:b/>
          <w:sz w:val="28"/>
          <w:szCs w:val="28"/>
        </w:rPr>
        <w:tab/>
      </w:r>
      <w:r w:rsidRPr="00E62922">
        <w:rPr>
          <w:rFonts w:cs="Arial"/>
          <w:b/>
          <w:szCs w:val="20"/>
        </w:rPr>
        <w:t xml:space="preserve">A) </w:t>
      </w:r>
      <w:r w:rsidR="00C63897" w:rsidRPr="00C63897">
        <w:rPr>
          <w:rFonts w:cs="Arial"/>
          <w:b/>
          <w:szCs w:val="20"/>
        </w:rPr>
        <w:t>Monitory (5 ks) s centrálou</w:t>
      </w:r>
    </w:p>
    <w:p w14:paraId="4ED6B3EF" w14:textId="6B8797FC" w:rsidR="00E62922" w:rsidRPr="00E62922" w:rsidRDefault="00E62922" w:rsidP="00E62922">
      <w:pPr>
        <w:shd w:val="clear" w:color="auto" w:fill="C1EAFF"/>
        <w:tabs>
          <w:tab w:val="left" w:pos="5103"/>
        </w:tabs>
        <w:ind w:left="3969" w:hanging="3969"/>
        <w:outlineLvl w:val="0"/>
        <w:rPr>
          <w:rFonts w:cs="Arial"/>
          <w:b/>
          <w:szCs w:val="20"/>
        </w:rPr>
      </w:pPr>
      <w:r w:rsidRPr="00E62922">
        <w:rPr>
          <w:rFonts w:cs="Arial"/>
          <w:b/>
          <w:szCs w:val="20"/>
        </w:rPr>
        <w:tab/>
        <w:t xml:space="preserve">B) </w:t>
      </w:r>
      <w:r w:rsidR="00C63897" w:rsidRPr="00C63897">
        <w:rPr>
          <w:rFonts w:cs="Arial"/>
          <w:b/>
          <w:szCs w:val="20"/>
        </w:rPr>
        <w:t>Monitory (5 ks) s centrálou</w:t>
      </w:r>
    </w:p>
    <w:p w14:paraId="687E0444" w14:textId="4C5327F9" w:rsidR="00E62922" w:rsidRDefault="00E62922" w:rsidP="00E62922">
      <w:pPr>
        <w:shd w:val="clear" w:color="auto" w:fill="C1EAFF"/>
        <w:tabs>
          <w:tab w:val="left" w:pos="5103"/>
        </w:tabs>
        <w:ind w:left="3969" w:hanging="3969"/>
        <w:outlineLvl w:val="0"/>
        <w:rPr>
          <w:rFonts w:cs="Arial"/>
          <w:b/>
          <w:szCs w:val="20"/>
        </w:rPr>
      </w:pPr>
      <w:r w:rsidRPr="00E62922">
        <w:rPr>
          <w:rFonts w:cs="Arial"/>
          <w:b/>
          <w:szCs w:val="20"/>
        </w:rPr>
        <w:tab/>
        <w:t xml:space="preserve">C) </w:t>
      </w:r>
      <w:r w:rsidR="00C63897" w:rsidRPr="00C63897">
        <w:rPr>
          <w:rFonts w:cs="Arial"/>
          <w:b/>
          <w:szCs w:val="20"/>
        </w:rPr>
        <w:t>Monitory (</w:t>
      </w:r>
      <w:r w:rsidR="00C63897">
        <w:rPr>
          <w:rFonts w:cs="Arial"/>
          <w:b/>
          <w:szCs w:val="20"/>
        </w:rPr>
        <w:t>4</w:t>
      </w:r>
      <w:r w:rsidR="00C63897" w:rsidRPr="00C63897">
        <w:rPr>
          <w:rFonts w:cs="Arial"/>
          <w:b/>
          <w:szCs w:val="20"/>
        </w:rPr>
        <w:t xml:space="preserve"> ks) s</w:t>
      </w:r>
      <w:r w:rsidR="00C63897">
        <w:rPr>
          <w:rFonts w:cs="Arial"/>
          <w:b/>
          <w:szCs w:val="20"/>
        </w:rPr>
        <w:t> </w:t>
      </w:r>
      <w:r w:rsidR="00C63897" w:rsidRPr="00C63897">
        <w:rPr>
          <w:rFonts w:cs="Arial"/>
          <w:b/>
          <w:szCs w:val="20"/>
        </w:rPr>
        <w:t>centrálou</w:t>
      </w:r>
    </w:p>
    <w:p w14:paraId="56B174D7" w14:textId="57F92BAC" w:rsidR="00C63897" w:rsidRDefault="00C63897" w:rsidP="00E62922">
      <w:pPr>
        <w:shd w:val="clear" w:color="auto" w:fill="C1EAFF"/>
        <w:tabs>
          <w:tab w:val="left" w:pos="5103"/>
        </w:tabs>
        <w:ind w:left="3969" w:hanging="3969"/>
        <w:outlineLvl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ab/>
        <w:t xml:space="preserve">D) </w:t>
      </w:r>
      <w:r w:rsidRPr="00C63897">
        <w:rPr>
          <w:rFonts w:cs="Arial"/>
          <w:b/>
          <w:szCs w:val="20"/>
        </w:rPr>
        <w:t>Monitory (</w:t>
      </w:r>
      <w:r w:rsidR="000A45BB">
        <w:rPr>
          <w:rFonts w:cs="Arial"/>
          <w:b/>
          <w:szCs w:val="20"/>
        </w:rPr>
        <w:t>6</w:t>
      </w:r>
      <w:r w:rsidRPr="00C63897">
        <w:rPr>
          <w:rFonts w:cs="Arial"/>
          <w:b/>
          <w:szCs w:val="20"/>
        </w:rPr>
        <w:t xml:space="preserve"> ks) s</w:t>
      </w:r>
      <w:r>
        <w:rPr>
          <w:rFonts w:cs="Arial"/>
          <w:b/>
          <w:szCs w:val="20"/>
        </w:rPr>
        <w:t> </w:t>
      </w:r>
      <w:r w:rsidRPr="00C63897">
        <w:rPr>
          <w:rFonts w:cs="Arial"/>
          <w:b/>
          <w:szCs w:val="20"/>
        </w:rPr>
        <w:t>centrálou</w:t>
      </w:r>
      <w:r>
        <w:rPr>
          <w:rFonts w:cs="Arial"/>
          <w:b/>
          <w:szCs w:val="20"/>
        </w:rPr>
        <w:t xml:space="preserve"> a telemetrií</w:t>
      </w:r>
    </w:p>
    <w:p w14:paraId="5647ADF2" w14:textId="6940088B" w:rsidR="00C63897" w:rsidRPr="00E62922" w:rsidRDefault="00C63897" w:rsidP="00E62922">
      <w:pPr>
        <w:shd w:val="clear" w:color="auto" w:fill="C1EAFF"/>
        <w:tabs>
          <w:tab w:val="left" w:pos="5103"/>
        </w:tabs>
        <w:ind w:left="3969" w:hanging="3969"/>
        <w:outlineLvl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ab/>
        <w:t>E) Monitor</w:t>
      </w:r>
      <w:r w:rsidR="000A45BB">
        <w:rPr>
          <w:rFonts w:cs="Arial"/>
          <w:b/>
          <w:szCs w:val="20"/>
        </w:rPr>
        <w:t xml:space="preserve"> (1 ks)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60549696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C63897">
        <w:rPr>
          <w:rFonts w:cs="Arial"/>
          <w:szCs w:val="20"/>
        </w:rPr>
        <w:t>6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28419717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C21154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0A45BB">
        <w:rPr>
          <w:rFonts w:cs="Arial"/>
          <w:bCs/>
          <w:szCs w:val="20"/>
        </w:rPr>
        <w:t>k</w:t>
      </w:r>
      <w:r w:rsidR="000A45BB">
        <w:rPr>
          <w:rFonts w:cs="Arial"/>
          <w:bCs/>
          <w:szCs w:val="20"/>
        </w:rPr>
        <w:t>ontrola hospitalizovaných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35407018" w14:textId="77777777" w:rsidR="00DB7BF1" w:rsidRDefault="00DB7BF1" w:rsidP="00AD6D5C">
            <w:pPr>
              <w:pStyle w:val="Odstavecseseznamem"/>
              <w:numPr>
                <w:ilvl w:val="0"/>
                <w:numId w:val="6"/>
              </w:numPr>
              <w:jc w:val="center"/>
              <w:rPr>
                <w:b/>
                <w:bCs/>
                <w:szCs w:val="20"/>
              </w:rPr>
            </w:pPr>
            <w:r w:rsidRPr="00DB7BF1">
              <w:rPr>
                <w:b/>
                <w:bCs/>
                <w:szCs w:val="20"/>
              </w:rPr>
              <w:t>Monitory vitálních funkcí (5 ks) s modulem EEG (1 ks) a centrálou (1 ks) - NEU</w:t>
            </w:r>
            <w:r w:rsidR="00AD6D5C">
              <w:rPr>
                <w:b/>
                <w:bCs/>
                <w:szCs w:val="20"/>
              </w:rPr>
              <w:t xml:space="preserve">, </w:t>
            </w:r>
          </w:p>
          <w:p w14:paraId="65BD7B6D" w14:textId="292616AB" w:rsidR="003465E0" w:rsidRPr="00AD6D5C" w:rsidRDefault="00AD6D5C" w:rsidP="00DB7BF1">
            <w:pPr>
              <w:pStyle w:val="Odstavecseseznamem"/>
              <w:ind w:left="720"/>
              <w:jc w:val="center"/>
              <w:rPr>
                <w:b/>
                <w:bCs/>
                <w:szCs w:val="20"/>
              </w:rPr>
            </w:pPr>
            <w:r w:rsidRPr="00AD6D5C">
              <w:rPr>
                <w:b/>
                <w:bCs/>
                <w:szCs w:val="20"/>
              </w:rPr>
              <w:t>Monitory (5 ks)</w:t>
            </w:r>
            <w:r w:rsidR="00E652F9" w:rsidRPr="00AD6D5C">
              <w:rPr>
                <w:b/>
                <w:bCs/>
                <w:szCs w:val="20"/>
              </w:rPr>
              <w:t xml:space="preserve"> </w:t>
            </w:r>
          </w:p>
        </w:tc>
      </w:tr>
    </w:tbl>
    <w:tbl>
      <w:tblPr>
        <w:tblW w:w="2182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6"/>
        <w:gridCol w:w="3113"/>
        <w:gridCol w:w="6"/>
        <w:gridCol w:w="3038"/>
        <w:gridCol w:w="75"/>
        <w:gridCol w:w="3044"/>
        <w:gridCol w:w="75"/>
        <w:gridCol w:w="3044"/>
        <w:gridCol w:w="75"/>
        <w:gridCol w:w="3044"/>
        <w:gridCol w:w="75"/>
      </w:tblGrid>
      <w:tr w:rsidR="003465E0" w14:paraId="4AAD8929" w14:textId="77777777" w:rsidTr="00ED0595">
        <w:trPr>
          <w:gridAfter w:val="9"/>
          <w:wAfter w:w="12476" w:type="dxa"/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9B6A40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722DE5" w14:paraId="76D97773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CCF84" w14:textId="36B6FAEE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Integrovaný barevný displej 12“, atest pro bezpečné použití u lůžka pacienta.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1C18A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A82A8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3315C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56323112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DE6987" w14:textId="24C546F1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Ovládání monitoru v českém jazyce.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33B62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9E22F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71F22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00CEE12D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88212" w14:textId="3F3F5428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Ovládání pomocí dotykové obrazovky.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2905A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8C627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6B0F2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3939C30B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97D55" w14:textId="18CA4122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Připojení myši a klávesnice přes USB port a</w:t>
            </w:r>
            <w:r w:rsidR="00DB4F76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včetně možnosti rozšíření o dálkové ovládání.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9EB57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62AB2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0AA14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67862F80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6B35D" w14:textId="396F7D7F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Možnost čtečky čárových kódů včetně SW pro identifikaci pacienta na základě čarového kódu používaného v nemocnici.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BD6D7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DF10F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5CF80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154874C8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B526C" w14:textId="52CED989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Automatická identifikace pacienta na základě čarového kódu generovaného nemocničním informačním systémem (NIS).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5B639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CA35D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40DF7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3BD0F175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32EFD" w14:textId="2F2F09BE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2 akumulátory (pro případ selhání jednoho z</w:t>
            </w:r>
            <w:r w:rsidR="00DB4F76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nich) pro provoz bez síťového napájení po 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lastRenderedPageBreak/>
              <w:t>dobu min. 4 hod (zobrazení výdrže baterie na baterii i</w:t>
            </w:r>
            <w:r w:rsidR="00DB4F76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monitoru).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E8776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F94C2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A969D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285BA514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920D3" w14:textId="7329B5B8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Modulový box pro umístění min. 1 parametrického modulu jakéhokoliv z dodávky modulů pro lůžkové monitory.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D2C20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289A3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0D07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557FF642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2C405" w14:textId="222D4151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Modulární monitor využívající stejný oddělitelný víceparametrový modul dle níže uvedené specifikace.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6ED93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5009C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54335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2BFC2C46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43825" w14:textId="683178FE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Zobrazení libovolné křivky EKG při snímání z</w:t>
            </w:r>
            <w:r w:rsidR="00DB4F76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3</w:t>
            </w:r>
            <w:r w:rsidR="00DB4F76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a 5 a 12 svodů včetně zobrazení tepové frekvence.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A992B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2C32B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5F31B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77DE7D42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BC84E" w14:textId="12BA67C3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Automatická analýza, záznam a tisk arytmií z</w:t>
            </w:r>
            <w:r w:rsidR="00DB4F76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sz w:val="18"/>
                <w:szCs w:val="18"/>
              </w:rPr>
              <w:t xml:space="preserve">min. 4 svodů 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současně (minimálně asystolie, komorová a síňová fibrilace, tachykardie, bradykardie).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031BA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07ACB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3AFDC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56B63F33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305AE" w14:textId="3D35A941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Analýza ST úseku min. </w:t>
            </w:r>
            <w:r w:rsidRPr="0009399B">
              <w:rPr>
                <w:rFonts w:cs="Arial"/>
                <w:sz w:val="18"/>
                <w:szCs w:val="18"/>
              </w:rPr>
              <w:t xml:space="preserve">ze 4 svodů 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současně, s</w:t>
            </w:r>
            <w:r w:rsidR="00DB4F76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grafickým zobrazením trendu a aktuální elevace/deprese ST na průměrném QRS komplexu.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DD7AD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7DE2B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D4AF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41FDF64D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C875F" w14:textId="20ED5B6C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Měření NIBP s nastavením automatického režimu měření a se zobrazením numerické hodnoty.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1FF56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D4616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6642D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27A7D23F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04022" w14:textId="269C7F36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teploty ze 2 čidel se zobrazením numerické hodnoty.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927C6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7C573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EA39F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545A3BB6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11147" w14:textId="4CD90DBC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SpO2, PR.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09713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09C48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82AAF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1193CD0A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6B45B" w14:textId="564665E1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impedanční respirace.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20337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22DFE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B6162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2CA39A25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0284F" w14:textId="4BF299B3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sz w:val="18"/>
                <w:szCs w:val="18"/>
              </w:rPr>
              <w:t xml:space="preserve">Měření až 4 invazivních 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tlaků se zobrazením křivky a numerické hodnoty podle rozsahu aktivních parametrů.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753D0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728CD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5434D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35868DBE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607BA" w14:textId="65BF4FFD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Současné měření parametrů SPV a PPV ventilovaných pacientů s trendy při transportu.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33A24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A7389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F1D60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55236595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E2426" w14:textId="5D453CC9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Možnost měření srdečního výdeje přenositelným modulem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termodilucí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metodou měření teploty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injektátu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in-line se zobrazením křivky a numerické hodnoty a s průměrováním výsledku s průměrováním výsledku 6 měření.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DC483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88EFC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238A1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5D8093A1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43442" w14:textId="40BDA8FB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Možnost měření EtCO2 přenositelným modulem se zobrazením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kapnometrické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křivky.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5B61F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89D8E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FF57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468CF7F4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B056B" w14:textId="1021B6E2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Grafické trendy a číselné trendy minimálně za posledních 24 hodin s minimálním rozlišením 1</w:t>
            </w:r>
            <w:r w:rsidR="00DB4F76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minuta.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BDC2C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A6FF5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5DA1A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5475CC03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98B0D" w14:textId="610F51A3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Současné zobrazení minimálně 6 libovolně zvolených křivek a 10 číselných parametrů</w:t>
            </w:r>
            <w:r w:rsidR="00E83E15" w:rsidRPr="0009399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83071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713CD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F7485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722DE5" w14:paraId="269783F0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D7530" w14:textId="54754B86" w:rsidR="00722DE5" w:rsidRPr="0009399B" w:rsidRDefault="00722DE5" w:rsidP="00722DE5">
            <w:pPr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Zabudovaná kalkulačka pro výpočet dávkování léčiv.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5818F" w14:textId="77777777" w:rsidR="00722DE5" w:rsidRDefault="00722DE5" w:rsidP="00722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843F5" w14:textId="77777777" w:rsidR="00722DE5" w:rsidRDefault="00722DE5" w:rsidP="00722DE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3F555" w14:textId="77777777" w:rsidR="00722DE5" w:rsidRPr="00BB7702" w:rsidRDefault="00722DE5" w:rsidP="00722DE5">
            <w:pPr>
              <w:rPr>
                <w:color w:val="FF0000"/>
              </w:rPr>
            </w:pPr>
          </w:p>
        </w:tc>
      </w:tr>
      <w:tr w:rsidR="00E83E15" w14:paraId="1438CF79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8CE6D" w14:textId="5B16368A" w:rsidR="00E83E15" w:rsidRPr="0009399B" w:rsidRDefault="00E83E15" w:rsidP="00E83E15">
            <w:pPr>
              <w:rPr>
                <w:b/>
                <w:bCs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Zabudovaná kalkulačka pro výpočet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hemodynamických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a ventilačních parametrů na základě monitorem sledovaných hodnot.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3FCD3" w14:textId="77777777" w:rsidR="00E83E15" w:rsidRDefault="00E83E15" w:rsidP="00E83E1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6DA3B" w14:textId="77777777" w:rsidR="00E83E15" w:rsidRDefault="00E83E15" w:rsidP="00E83E1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EF062" w14:textId="77777777" w:rsidR="00E83E15" w:rsidRPr="00BB7702" w:rsidRDefault="00E83E15" w:rsidP="00E83E15">
            <w:pPr>
              <w:rPr>
                <w:color w:val="FF0000"/>
              </w:rPr>
            </w:pPr>
          </w:p>
        </w:tc>
      </w:tr>
      <w:tr w:rsidR="00E83E15" w14:paraId="4C3DCABE" w14:textId="77777777" w:rsidTr="00ED0595">
        <w:trPr>
          <w:gridAfter w:val="9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EF200" w14:textId="7DDAC6FB" w:rsidR="00E83E15" w:rsidRPr="0009399B" w:rsidRDefault="00E83E15" w:rsidP="00E83E15">
            <w:pPr>
              <w:rPr>
                <w:b/>
                <w:bCs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Minimálně 6 uživatelsky konfigurovatelných profilů monitoru s přednastavenými alarmy podle stavu pacienta, každý s minimálně 3</w:t>
            </w:r>
            <w:r w:rsidR="00DB4F76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uživatelsky konfigurovatelnými obrazovkami včetně rychlé změny režimů a obrazovek dle závažnosti stavu pacienta a speciálních procedur.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6A1D3" w14:textId="77777777" w:rsidR="00E83E15" w:rsidRDefault="00E83E15" w:rsidP="00E83E1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DB7E" w14:textId="77777777" w:rsidR="00E83E15" w:rsidRDefault="00E83E15" w:rsidP="00E83E1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34153" w14:textId="77777777" w:rsidR="00E83E15" w:rsidRPr="00BB7702" w:rsidRDefault="00E83E15" w:rsidP="00E83E15">
            <w:pPr>
              <w:rPr>
                <w:color w:val="FF0000"/>
              </w:rPr>
            </w:pPr>
          </w:p>
        </w:tc>
      </w:tr>
      <w:tr w:rsidR="00E83E15" w14:paraId="3A6F729F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4C6AA21C" w:rsidR="00E83E15" w:rsidRPr="0009399B" w:rsidRDefault="00E83E15" w:rsidP="00E83E15">
            <w:pPr>
              <w:rPr>
                <w:b/>
                <w:bCs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lastRenderedPageBreak/>
              <w:t>Systém hlášení alarmových stavů s minimálně 4 úrovněmi.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E83E15" w:rsidRPr="002E2597" w:rsidRDefault="00E83E15" w:rsidP="00E83E1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E83E15" w:rsidRDefault="00E83E15" w:rsidP="00E83E1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E83E15" w:rsidRPr="00BB7702" w:rsidRDefault="00E83E15" w:rsidP="00E83E15">
            <w:pPr>
              <w:rPr>
                <w:color w:val="FF0000"/>
              </w:rPr>
            </w:pPr>
          </w:p>
        </w:tc>
      </w:tr>
      <w:tr w:rsidR="00E83E15" w14:paraId="7E361384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31D9E051" w:rsidR="00E83E15" w:rsidRPr="0009399B" w:rsidRDefault="00E83E15" w:rsidP="00E83E1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Nastavení limitních hodnot pro hlášení alarmových stavů pro každý ze sledovaných parametrů.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E83E15" w:rsidRPr="002E2597" w:rsidRDefault="00E83E15" w:rsidP="00E83E1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E83E15" w:rsidRDefault="00E83E15" w:rsidP="00E83E1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E83E15" w:rsidRPr="00BB7702" w:rsidRDefault="00E83E15" w:rsidP="00E83E15">
            <w:pPr>
              <w:rPr>
                <w:color w:val="FF0000"/>
              </w:rPr>
            </w:pPr>
          </w:p>
        </w:tc>
      </w:tr>
      <w:tr w:rsidR="00E83E15" w14:paraId="407ABA1F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3A25A" w14:textId="48F24240" w:rsidR="00E83E15" w:rsidRPr="0009399B" w:rsidRDefault="00E83E15" w:rsidP="00E83E1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Připojení do monitorovací sítě, přístupu z libovolného nového i stávajícího lůžkového monitoru na jiný lůžkový monitor i při výpadku centrální stanice.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83A20" w14:textId="77777777" w:rsidR="00E83E15" w:rsidRPr="002E2597" w:rsidRDefault="00E83E15" w:rsidP="00E83E1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AB8F7" w14:textId="77777777" w:rsidR="00E83E15" w:rsidRDefault="00E83E15" w:rsidP="00E83E1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69F52" w14:textId="77777777" w:rsidR="00E83E15" w:rsidRPr="00BB7702" w:rsidRDefault="00E83E15" w:rsidP="00E83E15">
            <w:pPr>
              <w:rPr>
                <w:color w:val="FF0000"/>
              </w:rPr>
            </w:pPr>
          </w:p>
        </w:tc>
      </w:tr>
      <w:tr w:rsidR="00E83E15" w14:paraId="7B00D3CD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16695" w14:textId="23AE3CE5" w:rsidR="00E83E15" w:rsidRPr="0009399B" w:rsidRDefault="00E83E15" w:rsidP="00E83E1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Veškeré příslušenství nutné k zahájení provozu a měření všech uvedených parametrů.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948B5" w14:textId="77777777" w:rsidR="00E83E15" w:rsidRPr="002E2597" w:rsidRDefault="00E83E15" w:rsidP="00E83E1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714DB" w14:textId="77777777" w:rsidR="00E83E15" w:rsidRDefault="00E83E15" w:rsidP="00E83E1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7EBE0" w14:textId="77777777" w:rsidR="00E83E15" w:rsidRPr="00BB7702" w:rsidRDefault="00E83E15" w:rsidP="00E83E15">
            <w:pPr>
              <w:rPr>
                <w:color w:val="FF0000"/>
              </w:rPr>
            </w:pPr>
          </w:p>
        </w:tc>
      </w:tr>
      <w:tr w:rsidR="0005233D" w14:paraId="798F4617" w14:textId="77777777" w:rsidTr="00ED0595">
        <w:trPr>
          <w:gridAfter w:val="9"/>
          <w:wAfter w:w="12476" w:type="dxa"/>
          <w:trHeight w:val="567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16EC1285" w14:textId="6E62E2CC" w:rsidR="0005233D" w:rsidRPr="004672BA" w:rsidRDefault="004672BA" w:rsidP="00DD4A3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Víceparametrový transportní modul ke sledování základních životních funkcí použitelný ve všech nabízených monitorech s autonomní funkcí záznamu dat (5</w:t>
            </w:r>
            <w:r w:rsidR="00E83E15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ks)</w:t>
            </w:r>
          </w:p>
        </w:tc>
      </w:tr>
      <w:tr w:rsidR="00E83E15" w14:paraId="452A895C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91FA8" w14:textId="42F98B70" w:rsidR="00E83E15" w:rsidRPr="0009399B" w:rsidRDefault="00E83E15" w:rsidP="00E83E15">
            <w:pPr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Vybavení všech monitorů shodným a v systému přenositelným (zaměnitelným) víceparametrovým monitorovacím modulem.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039C3" w14:textId="77777777" w:rsidR="00E83E15" w:rsidRPr="002E2597" w:rsidRDefault="00E83E15" w:rsidP="00E83E1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4BD7D" w14:textId="77777777" w:rsidR="00E83E15" w:rsidRDefault="00E83E15" w:rsidP="00E83E1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64179" w14:textId="77777777" w:rsidR="00E83E15" w:rsidRPr="00BB7702" w:rsidRDefault="00E83E15" w:rsidP="00E83E15">
            <w:pPr>
              <w:rPr>
                <w:color w:val="FF0000"/>
              </w:rPr>
            </w:pPr>
          </w:p>
        </w:tc>
      </w:tr>
      <w:tr w:rsidR="00E83E15" w14:paraId="0ED4DA59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D90AC" w14:textId="730CF35C" w:rsidR="00E83E15" w:rsidRPr="0009399B" w:rsidRDefault="00E83E15" w:rsidP="00E83E15">
            <w:pPr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Sledování pacienta přenositelným modulem na lůžkových monitorech, záznam dat o pacientovi v samotném modulu v době transportu s</w:t>
            </w:r>
            <w:r w:rsidR="0009399B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pacientem mezi všemi monitory bez přepojování kabelů a čidel, s kontinuálním sběrem dat a trendů od prvního připojení pacienta.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403F4" w14:textId="77777777" w:rsidR="00E83E15" w:rsidRPr="002E2597" w:rsidRDefault="00E83E15" w:rsidP="00E83E1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88FF2" w14:textId="77777777" w:rsidR="00E83E15" w:rsidRDefault="00E83E15" w:rsidP="00E83E1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6E466" w14:textId="77777777" w:rsidR="00E83E15" w:rsidRPr="00BB7702" w:rsidRDefault="00E83E15" w:rsidP="00E83E15">
            <w:pPr>
              <w:rPr>
                <w:color w:val="FF0000"/>
              </w:rPr>
            </w:pPr>
          </w:p>
        </w:tc>
      </w:tr>
      <w:tr w:rsidR="00E83E15" w14:paraId="40F32442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2F3F4" w14:textId="055613BC" w:rsidR="00E83E15" w:rsidRPr="0009399B" w:rsidRDefault="00E83E15" w:rsidP="00E83E15">
            <w:pPr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sz w:val="18"/>
                <w:szCs w:val="18"/>
              </w:rPr>
              <w:t>Ukládání monitorovaných hodnot do paměti modulu po dobu minimálně 24 hodin s</w:t>
            </w:r>
            <w:r w:rsidR="0009399B">
              <w:rPr>
                <w:rFonts w:cs="Arial"/>
                <w:sz w:val="18"/>
                <w:szCs w:val="18"/>
              </w:rPr>
              <w:t> </w:t>
            </w:r>
            <w:r w:rsidRPr="0009399B">
              <w:rPr>
                <w:rFonts w:cs="Arial"/>
                <w:sz w:val="18"/>
                <w:szCs w:val="18"/>
              </w:rPr>
              <w:t>rozlišením 1 minuta.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5C69C" w14:textId="77777777" w:rsidR="00E83E15" w:rsidRPr="002E2597" w:rsidRDefault="00E83E15" w:rsidP="00E83E1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128E2" w14:textId="77777777" w:rsidR="00E83E15" w:rsidRDefault="00E83E15" w:rsidP="00E83E1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A5A9E" w14:textId="77777777" w:rsidR="00E83E15" w:rsidRPr="00BB7702" w:rsidRDefault="00E83E15" w:rsidP="00E83E15">
            <w:pPr>
              <w:rPr>
                <w:color w:val="FF0000"/>
              </w:rPr>
            </w:pPr>
          </w:p>
        </w:tc>
      </w:tr>
      <w:tr w:rsidR="00E83E15" w14:paraId="238845B3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60E07" w14:textId="245E113F" w:rsidR="00E83E15" w:rsidRPr="0009399B" w:rsidRDefault="00E83E15" w:rsidP="00E83E15">
            <w:pPr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sz w:val="18"/>
                <w:szCs w:val="18"/>
              </w:rPr>
              <w:t>EKG snímané ze 3, 5, 12 svodů, analýza ST (včetně trendů) a arytmií s ukládáním do paměti.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506CC" w14:textId="77777777" w:rsidR="00E83E15" w:rsidRPr="002E2597" w:rsidRDefault="00E83E15" w:rsidP="00E83E1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29B4C" w14:textId="77777777" w:rsidR="00E83E15" w:rsidRDefault="00E83E15" w:rsidP="00E83E1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C8E9F" w14:textId="77777777" w:rsidR="00E83E15" w:rsidRPr="00BB7702" w:rsidRDefault="00E83E15" w:rsidP="00E83E15">
            <w:pPr>
              <w:rPr>
                <w:color w:val="FF0000"/>
              </w:rPr>
            </w:pPr>
          </w:p>
        </w:tc>
      </w:tr>
      <w:tr w:rsidR="00E83E15" w14:paraId="23DB3F6D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CA09C" w14:textId="47C870FB" w:rsidR="00E83E15" w:rsidRPr="0009399B" w:rsidRDefault="00E83E15" w:rsidP="00E83E15">
            <w:pPr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Stanovení respirace impedanční metodou.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A6320" w14:textId="77777777" w:rsidR="00E83E15" w:rsidRPr="002E2597" w:rsidRDefault="00E83E15" w:rsidP="00E83E1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9B663" w14:textId="77777777" w:rsidR="00E83E15" w:rsidRDefault="00E83E15" w:rsidP="00E83E1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6E63B" w14:textId="77777777" w:rsidR="00E83E15" w:rsidRPr="00BB7702" w:rsidRDefault="00E83E15" w:rsidP="00E83E15">
            <w:pPr>
              <w:rPr>
                <w:color w:val="FF0000"/>
              </w:rPr>
            </w:pPr>
          </w:p>
        </w:tc>
      </w:tr>
      <w:tr w:rsidR="00E83E15" w14:paraId="6465FE30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C6F5B" w14:textId="6FA337E1" w:rsidR="00E83E15" w:rsidRPr="0009399B" w:rsidRDefault="00E83E15" w:rsidP="00E83E15">
            <w:pPr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Měření pulsní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oximetrie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(SpO2) prstovým saturačním čidlem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Nellcor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nebo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Masimo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8A1BD" w14:textId="77777777" w:rsidR="00E83E15" w:rsidRPr="002E2597" w:rsidRDefault="00E83E15" w:rsidP="00E83E1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1CBE4" w14:textId="77777777" w:rsidR="00E83E15" w:rsidRDefault="00E83E15" w:rsidP="00E83E1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7C9D1" w14:textId="77777777" w:rsidR="00E83E15" w:rsidRPr="00BB7702" w:rsidRDefault="00E83E15" w:rsidP="00E83E15">
            <w:pPr>
              <w:rPr>
                <w:color w:val="FF0000"/>
              </w:rPr>
            </w:pPr>
          </w:p>
        </w:tc>
      </w:tr>
      <w:tr w:rsidR="00E83E15" w14:paraId="6D43A155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4095D" w14:textId="63A3A5C0" w:rsidR="00E83E15" w:rsidRPr="0009399B" w:rsidRDefault="00E83E15" w:rsidP="00E83E15">
            <w:pPr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neinvazívního tlaku s odděleným inflačním a měřícím systémem, dvouhadicové připojení do monitoru pro šetrnější měření.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80781" w14:textId="77777777" w:rsidR="00E83E15" w:rsidRPr="002E2597" w:rsidRDefault="00E83E15" w:rsidP="00E83E1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4CE15" w14:textId="77777777" w:rsidR="00E83E15" w:rsidRDefault="00E83E15" w:rsidP="00E83E1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2DCF5" w14:textId="77777777" w:rsidR="00E83E15" w:rsidRPr="00BB7702" w:rsidRDefault="00E83E15" w:rsidP="00E83E15">
            <w:pPr>
              <w:rPr>
                <w:color w:val="FF0000"/>
              </w:rPr>
            </w:pPr>
          </w:p>
        </w:tc>
      </w:tr>
      <w:tr w:rsidR="00E83E15" w14:paraId="29B4D578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BDB91" w14:textId="181AB010" w:rsidR="00E83E15" w:rsidRPr="0009399B" w:rsidRDefault="00E83E15" w:rsidP="00E83E15">
            <w:pPr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min. 2 teplot (čidla pro měření rektální/jícnové teploty).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35244" w14:textId="77777777" w:rsidR="00E83E15" w:rsidRPr="002E2597" w:rsidRDefault="00E83E15" w:rsidP="00E83E1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80000" w14:textId="77777777" w:rsidR="00E83E15" w:rsidRDefault="00E83E15" w:rsidP="00E83E1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4DF3B" w14:textId="77777777" w:rsidR="00E83E15" w:rsidRPr="00BB7702" w:rsidRDefault="00E83E15" w:rsidP="00E83E15">
            <w:pPr>
              <w:rPr>
                <w:color w:val="FF0000"/>
              </w:rPr>
            </w:pPr>
          </w:p>
        </w:tc>
      </w:tr>
      <w:tr w:rsidR="00E83E15" w14:paraId="77915ADE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C0E15" w14:textId="52E10C36" w:rsidR="00E83E15" w:rsidRPr="0009399B" w:rsidRDefault="00E83E15" w:rsidP="00E83E15">
            <w:pPr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a zobrazení volitelně až 4 invazivních tlaků dle volby současně.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52E92" w14:textId="77777777" w:rsidR="00E83E15" w:rsidRPr="002E2597" w:rsidRDefault="00E83E15" w:rsidP="00E83E1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862F2" w14:textId="77777777" w:rsidR="00E83E15" w:rsidRDefault="00E83E15" w:rsidP="00E83E1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89178" w14:textId="77777777" w:rsidR="00E83E15" w:rsidRPr="00BB7702" w:rsidRDefault="00E83E15" w:rsidP="00E83E15">
            <w:pPr>
              <w:rPr>
                <w:color w:val="FF0000"/>
              </w:rPr>
            </w:pPr>
          </w:p>
        </w:tc>
      </w:tr>
      <w:tr w:rsidR="00E83E15" w14:paraId="687C71CF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23222" w14:textId="1E9E4883" w:rsidR="00E83E15" w:rsidRPr="0009399B" w:rsidRDefault="00E83E15" w:rsidP="00E83E15">
            <w:pPr>
              <w:rPr>
                <w:rFonts w:cs="Arial"/>
                <w:sz w:val="18"/>
                <w:szCs w:val="18"/>
              </w:rPr>
            </w:pPr>
            <w:bookmarkStart w:id="0" w:name="RANGE!A48"/>
            <w:r w:rsidRPr="0009399B">
              <w:rPr>
                <w:rFonts w:cs="Arial"/>
                <w:color w:val="000000"/>
                <w:sz w:val="18"/>
                <w:szCs w:val="18"/>
              </w:rPr>
              <w:t>Měření SPV a PPV se zobrazením na příslušném monitoru</w:t>
            </w:r>
            <w:bookmarkEnd w:id="0"/>
            <w:r w:rsidRPr="0009399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A287B" w14:textId="77777777" w:rsidR="00E83E15" w:rsidRPr="002E2597" w:rsidRDefault="00E83E15" w:rsidP="00E83E1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FC044" w14:textId="77777777" w:rsidR="00E83E15" w:rsidRDefault="00E83E15" w:rsidP="00E83E15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FB26B" w14:textId="77777777" w:rsidR="00E83E15" w:rsidRPr="00BB7702" w:rsidRDefault="00E83E15" w:rsidP="00E83E15">
            <w:pPr>
              <w:rPr>
                <w:color w:val="FF0000"/>
              </w:rPr>
            </w:pPr>
          </w:p>
        </w:tc>
      </w:tr>
      <w:tr w:rsidR="0005233D" w:rsidRPr="0005233D" w14:paraId="0CF244DC" w14:textId="77777777" w:rsidTr="00ED0595">
        <w:trPr>
          <w:gridAfter w:val="9"/>
          <w:wAfter w:w="12476" w:type="dxa"/>
          <w:trHeight w:val="567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E3E73EF" w14:textId="0AFC383E" w:rsidR="0005233D" w:rsidRPr="00C049DB" w:rsidRDefault="00C049DB" w:rsidP="00C049DB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Měření EEG ze 4 kanálů s </w:t>
            </w:r>
            <w:r w:rsidR="007F45C8" w:rsidRPr="007F45C8">
              <w:rPr>
                <w:b/>
                <w:bCs/>
              </w:rPr>
              <w:t>akustickými</w:t>
            </w:r>
            <w:r w:rsidR="007F45C8" w:rsidRPr="007F45C8"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evokovanými potenciály (</w:t>
            </w:r>
            <w:r w:rsidR="007F45C8">
              <w:rPr>
                <w:rFonts w:cs="Arial"/>
                <w:b/>
                <w:bCs/>
                <w:color w:val="000000"/>
                <w:szCs w:val="20"/>
              </w:rPr>
              <w:t xml:space="preserve">1 </w:t>
            </w:r>
            <w:r>
              <w:rPr>
                <w:rFonts w:cs="Arial"/>
                <w:b/>
                <w:bCs/>
                <w:color w:val="000000"/>
                <w:szCs w:val="20"/>
              </w:rPr>
              <w:t>ks)</w:t>
            </w:r>
          </w:p>
        </w:tc>
      </w:tr>
      <w:tr w:rsidR="00C049DB" w14:paraId="0D7668B1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86A37" w14:textId="6B0AAFEB" w:rsidR="00C049DB" w:rsidRPr="0009399B" w:rsidRDefault="00C049DB" w:rsidP="00C049DB">
            <w:pPr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Možné referenční, nebo bipolární měření s uložením uživatelsky definované montáže.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FBA6A" w14:textId="77777777" w:rsidR="00C049DB" w:rsidRPr="002E2597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F46DB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E0AEF" w14:textId="77777777" w:rsidR="00C049DB" w:rsidRPr="00BB7702" w:rsidRDefault="00C049DB" w:rsidP="00C049DB">
            <w:pPr>
              <w:rPr>
                <w:color w:val="FF0000"/>
              </w:rPr>
            </w:pPr>
          </w:p>
        </w:tc>
      </w:tr>
      <w:tr w:rsidR="00C049DB" w14:paraId="655B853C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81A20" w14:textId="6CD6BD1E" w:rsidR="00C049DB" w:rsidRPr="0009399B" w:rsidRDefault="00C049DB" w:rsidP="00C049DB">
            <w:pPr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Automatická a kontinuální kontrola impedancí při uživatelsky definovaném intervalu zobrazovaná trvale na obrazovce.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F0A47" w14:textId="77777777" w:rsidR="00C049DB" w:rsidRPr="002E2597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A18AA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1078D" w14:textId="77777777" w:rsidR="00C049DB" w:rsidRPr="00BB7702" w:rsidRDefault="00C049DB" w:rsidP="00C049DB">
            <w:pPr>
              <w:rPr>
                <w:color w:val="FF0000"/>
              </w:rPr>
            </w:pPr>
          </w:p>
        </w:tc>
      </w:tr>
      <w:tr w:rsidR="00C049DB" w14:paraId="6FEF6141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F14C4" w14:textId="140BC7E1" w:rsidR="00C049DB" w:rsidRPr="0009399B" w:rsidRDefault="00C049DB" w:rsidP="00C049DB">
            <w:pPr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Detekce artefaktů.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C994B" w14:textId="77777777" w:rsidR="00C049DB" w:rsidRPr="002E2597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8FE9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ACA4A" w14:textId="77777777" w:rsidR="00C049DB" w:rsidRPr="00BB7702" w:rsidRDefault="00C049DB" w:rsidP="00C049DB">
            <w:pPr>
              <w:rPr>
                <w:color w:val="FF0000"/>
              </w:rPr>
            </w:pPr>
          </w:p>
        </w:tc>
      </w:tr>
      <w:tr w:rsidR="00C049DB" w14:paraId="0E87656E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073A0" w14:textId="22FFBFCF" w:rsidR="00C049DB" w:rsidRPr="0009399B" w:rsidRDefault="00C049DB" w:rsidP="00C049DB">
            <w:pPr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Spektrální analýza odpovídá FFT (Fast Fourier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transform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>) zobrazená i v grafických trendech.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0890F" w14:textId="77777777" w:rsidR="00C049DB" w:rsidRPr="002E2597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6C650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2B7F1" w14:textId="77777777" w:rsidR="00C049DB" w:rsidRPr="00BB7702" w:rsidRDefault="00C049DB" w:rsidP="00C049DB">
            <w:pPr>
              <w:rPr>
                <w:color w:val="FF0000"/>
              </w:rPr>
            </w:pPr>
          </w:p>
        </w:tc>
      </w:tr>
      <w:tr w:rsidR="00C049DB" w14:paraId="7ECF8BD1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E8F33" w14:textId="486E1D19" w:rsidR="00C049DB" w:rsidRPr="0009399B" w:rsidRDefault="00C049DB" w:rsidP="00C049DB">
            <w:pPr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lastRenderedPageBreak/>
              <w:t>Unikátní měření EMG z jednoho kanálu.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88692" w14:textId="77777777" w:rsidR="00C049DB" w:rsidRPr="002E2597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F7039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104BD" w14:textId="77777777" w:rsidR="00C049DB" w:rsidRPr="00BB7702" w:rsidRDefault="00C049DB" w:rsidP="00C049DB">
            <w:pPr>
              <w:rPr>
                <w:color w:val="FF0000"/>
              </w:rPr>
            </w:pPr>
          </w:p>
        </w:tc>
      </w:tr>
      <w:tr w:rsidR="0093417D" w14:paraId="293BC219" w14:textId="77777777" w:rsidTr="00ED0595">
        <w:trPr>
          <w:gridAfter w:val="9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2857C" w14:textId="00AA0E78" w:rsidR="0093417D" w:rsidRPr="0009399B" w:rsidRDefault="00C049DB" w:rsidP="00C049DB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Compresed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Spectral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array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(CSA) lze jak zobrazit, tak i dokladovat (tisknout).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7D731" w14:textId="77777777" w:rsidR="0093417D" w:rsidRPr="002E2597" w:rsidRDefault="0093417D" w:rsidP="00C049DB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730EA" w14:textId="77777777" w:rsidR="0093417D" w:rsidRDefault="0093417D" w:rsidP="00C049DB"/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C711A" w14:textId="77777777" w:rsidR="0093417D" w:rsidRPr="00BB7702" w:rsidRDefault="0093417D" w:rsidP="00C049DB">
            <w:pPr>
              <w:rPr>
                <w:color w:val="FF0000"/>
              </w:rPr>
            </w:pPr>
          </w:p>
        </w:tc>
      </w:tr>
      <w:tr w:rsidR="0093417D" w14:paraId="2A527D8C" w14:textId="77777777" w:rsidTr="00ED0595">
        <w:trPr>
          <w:trHeight w:val="567"/>
        </w:trPr>
        <w:tc>
          <w:tcPr>
            <w:tcW w:w="935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7A16BAB2" w14:textId="29EE3239" w:rsidR="0093417D" w:rsidRPr="00C049DB" w:rsidRDefault="00C049DB" w:rsidP="002E62C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7F45C8">
              <w:rPr>
                <w:rFonts w:cs="Arial"/>
                <w:b/>
                <w:bCs/>
                <w:color w:val="000000"/>
                <w:szCs w:val="20"/>
                <w:shd w:val="clear" w:color="auto" w:fill="FFF2CC" w:themeFill="accent4" w:themeFillTint="33"/>
              </w:rPr>
              <w:t>Centrální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monitorovací stanice (1 ks)</w:t>
            </w:r>
          </w:p>
        </w:tc>
        <w:tc>
          <w:tcPr>
            <w:tcW w:w="3119" w:type="dxa"/>
            <w:gridSpan w:val="3"/>
            <w:vAlign w:val="center"/>
          </w:tcPr>
          <w:p w14:paraId="55054742" w14:textId="77777777" w:rsidR="0093417D" w:rsidRDefault="0093417D" w:rsidP="0005233D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68B8DE9" w14:textId="77777777" w:rsidR="0093417D" w:rsidRDefault="0093417D" w:rsidP="0005233D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2D002CD" w14:textId="77777777" w:rsidR="0093417D" w:rsidRDefault="0093417D" w:rsidP="0005233D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108668A" w14:textId="77777777" w:rsidR="0093417D" w:rsidRDefault="0093417D" w:rsidP="0005233D">
            <w:pPr>
              <w:spacing w:after="160" w:line="259" w:lineRule="auto"/>
            </w:pPr>
          </w:p>
        </w:tc>
      </w:tr>
      <w:tr w:rsidR="00C049DB" w14:paraId="5413BC14" w14:textId="77777777" w:rsidTr="00ED059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A1B48" w14:textId="717265CC" w:rsidR="00C049DB" w:rsidRPr="0009399B" w:rsidRDefault="00C049DB" w:rsidP="00C049DB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Certifikované medicínské zařízení jako součást monitorovací sítě.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54956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B3A38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1EE1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vAlign w:val="center"/>
          </w:tcPr>
          <w:p w14:paraId="694E81D7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3D808B9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1D35F1A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4F41D44" w14:textId="77777777" w:rsidR="00C049DB" w:rsidRDefault="00C049DB" w:rsidP="00C049DB">
            <w:pPr>
              <w:spacing w:after="160" w:line="259" w:lineRule="auto"/>
            </w:pPr>
          </w:p>
        </w:tc>
      </w:tr>
      <w:tr w:rsidR="00C049DB" w14:paraId="3943D096" w14:textId="77777777" w:rsidTr="00ED059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0004BF" w14:textId="60A955AB" w:rsidR="00C049DB" w:rsidRPr="0009399B" w:rsidRDefault="007F45C8" w:rsidP="007F45C8">
            <w:pPr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sz w:val="18"/>
                <w:szCs w:val="18"/>
              </w:rPr>
              <w:t xml:space="preserve">Obousměrná komunikace se stávajícími monitory B 650 výrobce GE </w:t>
            </w:r>
            <w:proofErr w:type="spellStart"/>
            <w:r w:rsidRPr="0009399B">
              <w:rPr>
                <w:rFonts w:cs="Arial"/>
                <w:sz w:val="18"/>
                <w:szCs w:val="18"/>
              </w:rPr>
              <w:t>Healthcare</w:t>
            </w:r>
            <w:proofErr w:type="spellEnd"/>
            <w:r w:rsidRPr="0009399B">
              <w:rPr>
                <w:rFonts w:cs="Arial"/>
                <w:sz w:val="18"/>
                <w:szCs w:val="18"/>
              </w:rPr>
              <w:t xml:space="preserve"> i novými monitory.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C2D83F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EEBFF5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46D006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14:paraId="72A774F5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1D3EC1BC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0B9AFDFA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40E0788" w14:textId="77777777" w:rsidR="00C049DB" w:rsidRDefault="00C049DB" w:rsidP="00C049DB">
            <w:pPr>
              <w:spacing w:after="160" w:line="259" w:lineRule="auto"/>
            </w:pPr>
          </w:p>
        </w:tc>
      </w:tr>
      <w:tr w:rsidR="00C049DB" w14:paraId="0447218C" w14:textId="77777777" w:rsidTr="00ED059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7C61B" w14:textId="04A798CD" w:rsidR="00C049DB" w:rsidRPr="0009399B" w:rsidRDefault="00C049DB" w:rsidP="00C049DB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Připojení minimálně 10lůžkových a transportních monitorů, telemetrie.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7CF9A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41FF5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AF21E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</w:tcBorders>
            <w:vAlign w:val="center"/>
          </w:tcPr>
          <w:p w14:paraId="237722F8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  <w:vAlign w:val="center"/>
          </w:tcPr>
          <w:p w14:paraId="2C85552B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  <w:vAlign w:val="center"/>
          </w:tcPr>
          <w:p w14:paraId="12211AA1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  <w:vAlign w:val="center"/>
          </w:tcPr>
          <w:p w14:paraId="1B075B52" w14:textId="77777777" w:rsidR="00C049DB" w:rsidRDefault="00C049DB" w:rsidP="00C049DB">
            <w:pPr>
              <w:spacing w:after="160" w:line="259" w:lineRule="auto"/>
            </w:pPr>
          </w:p>
        </w:tc>
      </w:tr>
      <w:tr w:rsidR="00C049DB" w14:paraId="57938131" w14:textId="77777777" w:rsidTr="00ED059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6E350" w14:textId="1A599C68" w:rsidR="00C049DB" w:rsidRPr="0009399B" w:rsidRDefault="00C049DB" w:rsidP="00C049DB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Sledování a ovládání až 16 monitorů.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B47B0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9D353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CED52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vAlign w:val="center"/>
          </w:tcPr>
          <w:p w14:paraId="260943C0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C78D1E0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2184FE5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9BDF603" w14:textId="77777777" w:rsidR="00C049DB" w:rsidRDefault="00C049DB" w:rsidP="00C049DB">
            <w:pPr>
              <w:spacing w:after="160" w:line="259" w:lineRule="auto"/>
            </w:pPr>
          </w:p>
        </w:tc>
      </w:tr>
      <w:tr w:rsidR="00C049DB" w14:paraId="483C3E8F" w14:textId="77777777" w:rsidTr="00ED059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43616" w14:textId="2C9DA7C5" w:rsidR="00C049DB" w:rsidRPr="0009399B" w:rsidRDefault="00C049DB" w:rsidP="00C049DB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Detailní zobrazení libovolného lůžkového monitoru.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BA808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A2409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51AAE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vAlign w:val="center"/>
          </w:tcPr>
          <w:p w14:paraId="0C5D3B8A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FC1DBB0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B15D337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F54EE07" w14:textId="77777777" w:rsidR="00C049DB" w:rsidRDefault="00C049DB" w:rsidP="00C049DB">
            <w:pPr>
              <w:spacing w:after="160" w:line="259" w:lineRule="auto"/>
            </w:pPr>
          </w:p>
        </w:tc>
      </w:tr>
      <w:tr w:rsidR="00C049DB" w14:paraId="0B515E63" w14:textId="77777777" w:rsidTr="00ED059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7B057" w14:textId="373A0C5B" w:rsidR="00C049DB" w:rsidRPr="0009399B" w:rsidRDefault="00C049DB" w:rsidP="00C049DB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Sledování minimálně 4 křivek všech pacientů na jedné obrazovce.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500C7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B9FD8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FFB3C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vAlign w:val="center"/>
          </w:tcPr>
          <w:p w14:paraId="6B75F780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7A4C703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7738BF0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6CC6BD4" w14:textId="77777777" w:rsidR="00C049DB" w:rsidRDefault="00C049DB" w:rsidP="00C049DB">
            <w:pPr>
              <w:spacing w:after="160" w:line="259" w:lineRule="auto"/>
            </w:pPr>
          </w:p>
        </w:tc>
      </w:tr>
      <w:tr w:rsidR="00C049DB" w14:paraId="68A1547C" w14:textId="77777777" w:rsidTr="00ED059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EB915" w14:textId="48F8C617" w:rsidR="00C049DB" w:rsidRPr="0009399B" w:rsidRDefault="00C049DB" w:rsidP="00C049DB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Zobrazení, vyhodnocení, ukládání a tisk alarmových událostí.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F46C0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A11B7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6446A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vAlign w:val="bottom"/>
          </w:tcPr>
          <w:p w14:paraId="676B736B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037B2B4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3CF6D46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79FCDA8" w14:textId="77777777" w:rsidR="00C049DB" w:rsidRDefault="00C049DB" w:rsidP="00C049DB">
            <w:pPr>
              <w:spacing w:after="160" w:line="259" w:lineRule="auto"/>
            </w:pPr>
          </w:p>
        </w:tc>
      </w:tr>
      <w:tr w:rsidR="00C049DB" w14:paraId="2462CEE8" w14:textId="77777777" w:rsidTr="00ED059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0BEBC" w14:textId="6386B6F3" w:rsidR="00C049DB" w:rsidRPr="0009399B" w:rsidRDefault="00C049DB" w:rsidP="00C049DB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Zobrazení, vyhodnocení, ukládání a tisk grafických a numerických trendů za 24 hod.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2095D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E112C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59D67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vAlign w:val="bottom"/>
          </w:tcPr>
          <w:p w14:paraId="774438C7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F432B9F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EED3A05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DD7A1B1" w14:textId="77777777" w:rsidR="00C049DB" w:rsidRDefault="00C049DB" w:rsidP="00C049DB">
            <w:pPr>
              <w:spacing w:after="160" w:line="259" w:lineRule="auto"/>
            </w:pPr>
          </w:p>
        </w:tc>
      </w:tr>
      <w:tr w:rsidR="00C049DB" w14:paraId="353A8861" w14:textId="77777777" w:rsidTr="00ED059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0AD3A" w14:textId="7E3C8532" w:rsidR="00C049DB" w:rsidRPr="0009399B" w:rsidRDefault="00C049DB" w:rsidP="00C049DB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Archivace, zobrazení a tisk minimálně 4 kompletních křivek od kteréhokoliv ze sledovaných pacientů za posledních 24 hod.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28819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C14DB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8CD01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vAlign w:val="bottom"/>
          </w:tcPr>
          <w:p w14:paraId="057D8917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C00F625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BEFCB87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95FA49B" w14:textId="77777777" w:rsidR="00C049DB" w:rsidRDefault="00C049DB" w:rsidP="00C049DB">
            <w:pPr>
              <w:spacing w:after="160" w:line="259" w:lineRule="auto"/>
            </w:pPr>
          </w:p>
        </w:tc>
      </w:tr>
      <w:tr w:rsidR="00C049DB" w14:paraId="20E293B4" w14:textId="77777777" w:rsidTr="00ED059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B055A8" w14:textId="58BA2063" w:rsidR="00C049DB" w:rsidRPr="0009399B" w:rsidRDefault="00C049DB" w:rsidP="00C049DB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Režim pro detailní zobrazení vybraného monitoru s funkcí zadání základních údajů o</w:t>
            </w:r>
            <w:r w:rsidR="0009399B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pacientovi a s funkcí ovládání monitoru dálkově (nastavení alarmů atd.).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D2E9D1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60E453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23FF1F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vAlign w:val="bottom"/>
          </w:tcPr>
          <w:p w14:paraId="3FFF203A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984345A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FD92E06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9C76109" w14:textId="77777777" w:rsidR="00C049DB" w:rsidRDefault="00C049DB" w:rsidP="00C049DB">
            <w:pPr>
              <w:spacing w:after="160" w:line="259" w:lineRule="auto"/>
            </w:pPr>
          </w:p>
        </w:tc>
      </w:tr>
      <w:tr w:rsidR="00C049DB" w14:paraId="65AAF98F" w14:textId="77777777" w:rsidTr="00ED059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376042F" w14:textId="36858DDA" w:rsidR="00C049DB" w:rsidRPr="0009399B" w:rsidRDefault="00C049DB" w:rsidP="00C049DB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Uživatelské rozhraní v ČJ, ovládání klávesnicí a</w:t>
            </w:r>
            <w:r w:rsidR="0009399B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myší.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8B6F2A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349446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28F834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vAlign w:val="bottom"/>
          </w:tcPr>
          <w:p w14:paraId="7FC6B442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4FE5239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BA50D21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5F57C35" w14:textId="77777777" w:rsidR="00C049DB" w:rsidRDefault="00C049DB" w:rsidP="00C049DB">
            <w:pPr>
              <w:spacing w:after="160" w:line="259" w:lineRule="auto"/>
            </w:pPr>
          </w:p>
        </w:tc>
      </w:tr>
      <w:tr w:rsidR="00C049DB" w14:paraId="63AC77BB" w14:textId="77777777" w:rsidTr="00ED059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DBC65" w14:textId="1265A91A" w:rsidR="00C049DB" w:rsidRPr="0009399B" w:rsidRDefault="00C049DB" w:rsidP="00C049DB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2 ks ploché displeje min 22“.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13832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5B745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4BB7D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vAlign w:val="bottom"/>
          </w:tcPr>
          <w:p w14:paraId="1CF99A0E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E97D770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230C10D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36ACFA2" w14:textId="77777777" w:rsidR="00C049DB" w:rsidRDefault="00C049DB" w:rsidP="00C049DB">
            <w:pPr>
              <w:spacing w:after="160" w:line="259" w:lineRule="auto"/>
            </w:pPr>
          </w:p>
        </w:tc>
      </w:tr>
      <w:tr w:rsidR="00C049DB" w14:paraId="019354CE" w14:textId="77777777" w:rsidTr="00ED059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A7AC6" w14:textId="665A9AF1" w:rsidR="00C049DB" w:rsidRPr="0009399B" w:rsidRDefault="00C049DB" w:rsidP="00C049DB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Kompatibilní laserová tiskárna.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4DD64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E088B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A6D59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vAlign w:val="bottom"/>
          </w:tcPr>
          <w:p w14:paraId="2021D9A8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DA7D234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A37FC5E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0D97612" w14:textId="77777777" w:rsidR="00C049DB" w:rsidRDefault="00C049DB" w:rsidP="00C049DB">
            <w:pPr>
              <w:spacing w:after="160" w:line="259" w:lineRule="auto"/>
            </w:pPr>
          </w:p>
        </w:tc>
      </w:tr>
      <w:tr w:rsidR="00C049DB" w14:paraId="44862D20" w14:textId="77777777" w:rsidTr="00ED059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DD0EA" w14:textId="6E0455E4" w:rsidR="00C049DB" w:rsidRPr="0009399B" w:rsidRDefault="00C049DB" w:rsidP="00C049DB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Veškeré prvky pro ovládání a propojení monitorů s centrálou.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46C4F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C0198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5F777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vAlign w:val="bottom"/>
          </w:tcPr>
          <w:p w14:paraId="10F36281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416B345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5E8580C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D86B979" w14:textId="77777777" w:rsidR="00C049DB" w:rsidRDefault="00C049DB" w:rsidP="00C049DB">
            <w:pPr>
              <w:spacing w:after="160" w:line="259" w:lineRule="auto"/>
            </w:pPr>
          </w:p>
        </w:tc>
      </w:tr>
      <w:tr w:rsidR="00C049DB" w14:paraId="61A06702" w14:textId="77777777" w:rsidTr="00ED059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BD1C9" w14:textId="4DA88D9A" w:rsidR="00C049DB" w:rsidRPr="0009399B" w:rsidRDefault="00C049DB" w:rsidP="00C049DB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Propojení a instalace vč. kabelového datového propojení (rozvodů).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BF991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1F895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A3BDB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vAlign w:val="bottom"/>
          </w:tcPr>
          <w:p w14:paraId="76D6FE39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0E3BD5B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BE40E39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7026317" w14:textId="77777777" w:rsidR="00C049DB" w:rsidRDefault="00C049DB" w:rsidP="00C049DB">
            <w:pPr>
              <w:spacing w:after="160" w:line="259" w:lineRule="auto"/>
            </w:pPr>
          </w:p>
        </w:tc>
      </w:tr>
      <w:tr w:rsidR="00C049DB" w14:paraId="0F2D783B" w14:textId="77777777" w:rsidTr="00ED059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BE919" w14:textId="5966ECB0" w:rsidR="00C049DB" w:rsidRPr="0009399B" w:rsidRDefault="00C049DB" w:rsidP="00C049DB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Využití stávajících rozvodů za podmínky plné záruky na veškeré repasované a obnovené části.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A3B86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A5C8C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D2AAC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vAlign w:val="bottom"/>
          </w:tcPr>
          <w:p w14:paraId="0DFACAB9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93FE48F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3303B7B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C66CF59" w14:textId="77777777" w:rsidR="00C049DB" w:rsidRDefault="00C049DB" w:rsidP="00C049DB">
            <w:pPr>
              <w:spacing w:after="160" w:line="259" w:lineRule="auto"/>
            </w:pPr>
          </w:p>
        </w:tc>
      </w:tr>
      <w:tr w:rsidR="00C049DB" w14:paraId="2850861B" w14:textId="77777777" w:rsidTr="00ED059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34598" w14:textId="5C92F88C" w:rsidR="00C049DB" w:rsidRPr="0009399B" w:rsidRDefault="00C049DB" w:rsidP="00C049DB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Prohlášení výrobce o kybernetické bezpečnosti (MDS).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1C34A" w14:textId="77777777" w:rsidR="00C049DB" w:rsidRPr="00241E4F" w:rsidRDefault="00C049DB" w:rsidP="00C049D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DDD74" w14:textId="77777777" w:rsidR="00C049DB" w:rsidRDefault="00C049DB" w:rsidP="00C049DB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57060" w14:textId="77777777" w:rsidR="00C049DB" w:rsidRPr="00BB7702" w:rsidRDefault="00C049DB" w:rsidP="00C049DB">
            <w:pPr>
              <w:rPr>
                <w:color w:val="FF0000"/>
              </w:rPr>
            </w:pPr>
          </w:p>
        </w:tc>
        <w:tc>
          <w:tcPr>
            <w:tcW w:w="3119" w:type="dxa"/>
            <w:gridSpan w:val="3"/>
            <w:vAlign w:val="bottom"/>
          </w:tcPr>
          <w:p w14:paraId="5124E66B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FA88505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F03C4BE" w14:textId="77777777" w:rsidR="00C049DB" w:rsidRDefault="00C049DB" w:rsidP="00C049DB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E9F8224" w14:textId="77777777" w:rsidR="00C049DB" w:rsidRDefault="00C049DB" w:rsidP="00C049DB">
            <w:pPr>
              <w:spacing w:after="160" w:line="259" w:lineRule="auto"/>
            </w:pPr>
          </w:p>
        </w:tc>
      </w:tr>
      <w:tr w:rsidR="0008645F" w:rsidRPr="00134CAF" w14:paraId="40B58190" w14:textId="77777777" w:rsidTr="00ED0595">
        <w:trPr>
          <w:gridAfter w:val="1"/>
          <w:wAfter w:w="75" w:type="dxa"/>
          <w:trHeight w:val="567"/>
        </w:trPr>
        <w:tc>
          <w:tcPr>
            <w:tcW w:w="935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14F80A5" w14:textId="1A9BDF76" w:rsidR="0008645F" w:rsidRPr="0008645F" w:rsidRDefault="0008645F" w:rsidP="0008645F">
            <w:pPr>
              <w:pStyle w:val="Odstavecseseznamem"/>
              <w:numPr>
                <w:ilvl w:val="0"/>
                <w:numId w:val="6"/>
              </w:numPr>
              <w:jc w:val="center"/>
              <w:rPr>
                <w:b/>
                <w:bCs/>
              </w:rPr>
            </w:pPr>
            <w:r w:rsidRPr="0008645F">
              <w:rPr>
                <w:b/>
                <w:bCs/>
              </w:rPr>
              <w:t>Lůžkový a transportní monitor s </w:t>
            </w:r>
            <w:proofErr w:type="spellStart"/>
            <w:r w:rsidRPr="0008645F">
              <w:rPr>
                <w:b/>
                <w:bCs/>
              </w:rPr>
              <w:t>multiparametrickým</w:t>
            </w:r>
            <w:proofErr w:type="spellEnd"/>
            <w:r w:rsidRPr="0008645F">
              <w:rPr>
                <w:b/>
                <w:bCs/>
              </w:rPr>
              <w:t xml:space="preserve"> modulem – 5 ks – UP</w:t>
            </w:r>
          </w:p>
        </w:tc>
        <w:tc>
          <w:tcPr>
            <w:tcW w:w="3038" w:type="dxa"/>
            <w:vAlign w:val="bottom"/>
          </w:tcPr>
          <w:p w14:paraId="3206F1FD" w14:textId="77777777" w:rsidR="0008645F" w:rsidRPr="00134CA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F7E4BA7" w14:textId="77777777" w:rsidR="0008645F" w:rsidRPr="00134CA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B293037" w14:textId="77777777" w:rsidR="0008645F" w:rsidRPr="00134CA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62B930F" w14:textId="77777777" w:rsidR="0008645F" w:rsidRPr="00134CAF" w:rsidRDefault="0008645F" w:rsidP="00FD7A0C">
            <w:pPr>
              <w:spacing w:after="160" w:line="259" w:lineRule="auto"/>
            </w:pPr>
          </w:p>
        </w:tc>
      </w:tr>
      <w:tr w:rsidR="0008645F" w14:paraId="21307CE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E38465C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Integrovaný barevný displej 12“, atest pro bezpečné použití u lůžka pacienta.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FEFF11E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01E07E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0E1E63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5AB082E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09B721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675052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2542586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7D8F0C6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4105E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lastRenderedPageBreak/>
              <w:t>Ovládání monitoru v 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4C24F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F3A93" w14:textId="77777777" w:rsidR="0008645F" w:rsidRDefault="0008645F" w:rsidP="00FD7A0C"/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6E622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31E759D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36DEBB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AF7985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79B9CBF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95A2F0F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99CE45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Ovládání pomocí dotykové obrazovky.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F8B0E1A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A8B78A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95F689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5F1FB19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DED0D8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A2CD0C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45343BB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3D0322C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C08EC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Připojení myši a klávesnice přes USB port a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včetně možnosti rozšíření o dálkové ovládání.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F2199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8B895" w14:textId="77777777" w:rsidR="0008645F" w:rsidRDefault="0008645F" w:rsidP="00FD7A0C"/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E0957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758926F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9A7F1A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AEF32B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5799184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2ED75F1F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2184D2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Možnost čtečka čárových kódů včetně SW pro identifikaci pacienta na základě čarového kódu používaného v nemocnici.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F14707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3EB01D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F6F078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3F7424A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5AFFD7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B9B279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A4B1E53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926FABC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9039A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Automatická identifikace pacienta na základě čarového kódu generovaného nemocničním informačním systémem (NIS).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BEE88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AAB19" w14:textId="77777777" w:rsidR="0008645F" w:rsidRDefault="0008645F" w:rsidP="00FD7A0C"/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2DA2B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41B84F4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6C7393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3EA5FE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16CE200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6465887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DC4E1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2 akumulátory (pro případ selhání jednoho z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nich) pro provoz bez síťového napájení po dobu min. 4 hodin (zobrazení výdrže baterie na baterii i monitoru).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6C9A1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1C975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A482C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495FA27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4E7967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383ABF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D691C0B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5D3B4BC6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13F75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Modulový box pro umístění min. 1 parametrického modulu jakéhokoliv z dodávky modulů pro lůžkové monitory.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C3981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6E713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B9C3E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1E95D64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54A673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2677C4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716B570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B16E2E4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6CCB6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Modulární monitor využívající stejný oddělitelný víceparametrový modul dle níže uvedené specifikace.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83D88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D54F5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130F1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108F63A6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7EE7F7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39CDFD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444B669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3CFE6CDE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B0B57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Zobrazení libovolné křivky EKG při snímání z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3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a 5 a 12 svodů včetně zobrazení tepové frekvence.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EB929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22857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298A1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2F86184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65D3F3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24E22E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A9CD0AE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2F35A70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36054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sz w:val="18"/>
                <w:szCs w:val="18"/>
              </w:rPr>
              <w:t xml:space="preserve">Automatická analýza, záznam a tisk arytmií z min. 4 svodů 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současně (minimálně asystolie, komorová a síňová fibrilace, tachykardie, bradykardie).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318FC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2444D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32620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0F2A5FB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7A5900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593DD2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498BF65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22269C0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13EE0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Analýza ST úseku min. </w:t>
            </w:r>
            <w:r w:rsidRPr="0009399B">
              <w:rPr>
                <w:rFonts w:cs="Arial"/>
                <w:sz w:val="18"/>
                <w:szCs w:val="18"/>
              </w:rPr>
              <w:t xml:space="preserve">ze </w:t>
            </w:r>
            <w:r w:rsidRPr="0009399B">
              <w:rPr>
                <w:rFonts w:cs="Arial"/>
                <w:strike/>
                <w:sz w:val="18"/>
                <w:szCs w:val="18"/>
              </w:rPr>
              <w:t>4</w:t>
            </w:r>
            <w:r w:rsidRPr="0009399B">
              <w:rPr>
                <w:rFonts w:cs="Arial"/>
                <w:sz w:val="18"/>
                <w:szCs w:val="18"/>
              </w:rPr>
              <w:t xml:space="preserve"> svodů 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současně, s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grafickým zobrazením trendu a aktuální elevace/deprese ST na průměrném QRS komplexu.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5D618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30B79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BCFA3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5E19804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35AD20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E380CC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74F8EB3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324202BD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ED34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Měření NIBP s nastavením automatického režimu měření a se zobrazením numerické hodnoty, dvouhadicové připojení do monitoru pro </w:t>
            </w:r>
            <w:r w:rsidRPr="0009399B">
              <w:rPr>
                <w:rFonts w:cs="Arial"/>
                <w:sz w:val="18"/>
                <w:szCs w:val="18"/>
              </w:rPr>
              <w:t xml:space="preserve">přesnější 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měření.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BA083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9730C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F4258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4BB0D92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A88577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B90019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E9AC345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2FC7D42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C9E1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teploty ze 2 čidel se zobrazením numerické hodnoty.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07F93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B0523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10EA5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266B9E3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9A2833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A91CFB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6DB8D49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FCB960E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2C392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SpO2, PR.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584FD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BCCA7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70E7E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74E3B9E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F60EE9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4AD54D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89CBB56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5F7FF2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85952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impedanční respirace.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78E82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2E466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0E85B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051ED9F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B9C38E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33F2EB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9F0CD12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F79D584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4ADA5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Měření </w:t>
            </w:r>
            <w:r w:rsidRPr="0009399B">
              <w:rPr>
                <w:rFonts w:cs="Arial"/>
                <w:sz w:val="18"/>
                <w:szCs w:val="18"/>
              </w:rPr>
              <w:t xml:space="preserve">až 4 invazivních 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tlaků se zobrazením křivky a numerické hodnoty podle rozsahu aktivních parametrů.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68668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F1A1A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91484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1A94C0D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7B74E2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E3EEC2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EF6DC9A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5D5F7CB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0ED11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Současné měření parametrů SPV a PPV ventilovaných pacientů s trendy při transportu.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35CEC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0A8F8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F06C3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6DF34A6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97AD41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8269146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AA0295C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6493A42D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4097EE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Možnost měření srdečního výdeje přenositelným modulem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termodilucí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metodou měření teploty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injektátu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in-line se zobrazením křivky a numerické hodnoty a s průměrováním výsledku s průměrováním výsledku 6 měření.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114D51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CFFDAF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43F392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09E40F7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D312F0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2E501B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680C1B3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64EF2F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E3C60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Možnost měření EtCO2 přenositelným modulem se zobrazením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kapnometrické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křivky.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EE32D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E06F3" w14:textId="77777777" w:rsidR="0008645F" w:rsidRDefault="0008645F" w:rsidP="00FD7A0C"/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D4456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54636996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4D6913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68E7A4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2F684BD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249C524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AEECD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lastRenderedPageBreak/>
              <w:t>Grafické trendy a číselné trendy minimálně za posledních 24 hodin s minimálním rozlišením 1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minuta.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813DA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E62E6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4B6B8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32E28E4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879270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ADB7E0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17EB2C0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2BD2785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0D689A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Současné zobrazení minimálně 6 libovolně zvolených křivek a 10 číselných parametrů.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972AA9F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0864F6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160AFC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38B0225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8213CD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E26EB0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61341DD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216FD8A3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FEFF5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Zabudovaná kalkulačka pro výpočet dávkování léčiv.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56CFC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2D75D" w14:textId="77777777" w:rsidR="0008645F" w:rsidRDefault="0008645F" w:rsidP="00FD7A0C"/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CE020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772F278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70D5D0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6B7E6A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817BB0D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D5C527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6A2CE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Zabudovaná kalkulačka pro výpočet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hemodynamických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a ventilačních parametrů na základě monitorem sledovaných hodnot.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09E83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DF417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9CA6F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2667C10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564953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EBE166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D6D838B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2372543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3CF48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Minimálně 5 uživatelsky konfigurovatelných profilů monitoru s přednastavenými alarmy podle stavu pacienta, každý s minimálně 3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uživatelsky konfigurovatelnými obrazovkami včetně rychlé změny režimů a obrazovek dle závažnosti stavu pacienta a speciálních procedur.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3DE57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579A2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8275F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265B5A7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9A9E03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50A9FA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39B9A11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4B92D51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4C9B8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Systém hlášení alarmových stavů s minimálně 4 úrovněmi.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B8397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197C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29DE3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6DBFE06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510F8E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729B15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5849D4A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5967CA70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55F1E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Nastavení limitních hodnot pro hlášení alarmových stavů pro každý ze sledovaných parametrů.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EEF97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A710F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03A5F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2D3C13E6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4D419A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7E9C16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DACCE01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6E707C6D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E0EDD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Připojení do monitorovací sítě včetně přístupu z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libovolného lůžkového monitoru na druhý lůžkový monitor v rámci oddělení.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D2EDE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BDAC8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50639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486C6AD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24B5B1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FF1BEB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82F6CE0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24354C6E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2647F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Veškeré příslušenství nutné k zahájení provozu a měření všech uvedených parametrů.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64291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473D8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CDDAA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6A50A57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2E79C1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A5B24F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5A63469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6CC53F3" w14:textId="77777777" w:rsidTr="00ED0595">
        <w:trPr>
          <w:gridAfter w:val="1"/>
          <w:wAfter w:w="75" w:type="dxa"/>
          <w:trHeight w:val="567"/>
        </w:trPr>
        <w:tc>
          <w:tcPr>
            <w:tcW w:w="935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2BC1D8DA" w14:textId="77777777" w:rsidR="0008645F" w:rsidRPr="004C4C29" w:rsidRDefault="0008645F" w:rsidP="00FD7A0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Víceparametrový modul ke sledování základních životních funkcí použitelný ve všech nabízených monitorech s autonomní funkcí záznamu dat</w:t>
            </w:r>
          </w:p>
        </w:tc>
        <w:tc>
          <w:tcPr>
            <w:tcW w:w="3038" w:type="dxa"/>
            <w:vAlign w:val="center"/>
          </w:tcPr>
          <w:p w14:paraId="46A8E236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vAlign w:val="center"/>
          </w:tcPr>
          <w:p w14:paraId="57FB023D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vAlign w:val="center"/>
          </w:tcPr>
          <w:p w14:paraId="5391C915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vAlign w:val="center"/>
          </w:tcPr>
          <w:p w14:paraId="1ADC0C30" w14:textId="77777777" w:rsidR="0008645F" w:rsidRDefault="0008645F" w:rsidP="00FD7A0C">
            <w:pPr>
              <w:spacing w:after="160" w:line="259" w:lineRule="auto"/>
              <w:jc w:val="center"/>
            </w:pPr>
          </w:p>
        </w:tc>
      </w:tr>
      <w:tr w:rsidR="0008645F" w14:paraId="6E07D7AF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D41D4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Vybavení všech lůžkových monitorů včetně transportního monitoru shodným a v systému přenositelným (zaměnitelným) víceparametrovým monitorovacím modulem.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356D4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6E3AC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92376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06A247E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AAC265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947491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ECB083D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49BC0CD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EA5860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Sledování pacienta přenositelným modulem na lůžkových monitorech, záznam dat o pacientovi v samotném modulu v době transportu s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pacientem mezi všemi monitory bez přepojování kabelů a čidel, s kontinuálním sběrem dat a trendů od prvního připojení pacienta.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D21D5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7C2BE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6CF1C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5A94481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59DF81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8444A0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ED7B732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81754EF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01E76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Ukládání monitorovaných hodnot do paměti po dobu minimálně 24 hodin s rozlišením 1 minuta.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D723A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40158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48AD9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032F86A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14E0DC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A74A72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83E4630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E219F1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224930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sz w:val="18"/>
                <w:szCs w:val="18"/>
              </w:rPr>
              <w:t>EKG snímané ze 3, 5, 12 svodů, analýza ST (včetně trendů) a arytmií s ukládáním do paměti.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5E93B9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55FF85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384696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16F8EE5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6DB5CC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883702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5732A11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544FB20E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16285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Stanovení respirace impedanční metodou.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D3308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B5B8C" w14:textId="77777777" w:rsidR="0008645F" w:rsidRDefault="0008645F" w:rsidP="00FD7A0C"/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3F90E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091656D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90E5E4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742CFE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92DFCFF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33EA352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EA0C0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Měření </w:t>
            </w:r>
            <w:r w:rsidRPr="0009399B">
              <w:rPr>
                <w:rFonts w:cs="Arial"/>
                <w:sz w:val="18"/>
                <w:szCs w:val="18"/>
              </w:rPr>
              <w:t xml:space="preserve">pulsní </w:t>
            </w:r>
            <w:proofErr w:type="spellStart"/>
            <w:r w:rsidRPr="0009399B">
              <w:rPr>
                <w:rFonts w:cs="Arial"/>
                <w:sz w:val="18"/>
                <w:szCs w:val="18"/>
              </w:rPr>
              <w:t>oximetrie</w:t>
            </w:r>
            <w:proofErr w:type="spellEnd"/>
            <w:r w:rsidRPr="0009399B">
              <w:rPr>
                <w:rFonts w:cs="Arial"/>
                <w:sz w:val="18"/>
                <w:szCs w:val="18"/>
              </w:rPr>
              <w:t xml:space="preserve"> (SpO2) prstovým saturačním čidlem </w:t>
            </w:r>
            <w:proofErr w:type="spellStart"/>
            <w:r w:rsidRPr="0009399B">
              <w:rPr>
                <w:rFonts w:cs="Arial"/>
                <w:sz w:val="18"/>
                <w:szCs w:val="18"/>
              </w:rPr>
              <w:t>Masimo</w:t>
            </w:r>
            <w:proofErr w:type="spellEnd"/>
            <w:r w:rsidRPr="0009399B">
              <w:rPr>
                <w:rFonts w:cs="Arial"/>
                <w:sz w:val="18"/>
                <w:szCs w:val="18"/>
              </w:rPr>
              <w:t xml:space="preserve"> nebo </w:t>
            </w:r>
            <w:proofErr w:type="spellStart"/>
            <w:r w:rsidRPr="0009399B">
              <w:rPr>
                <w:rFonts w:cs="Arial"/>
                <w:sz w:val="18"/>
                <w:szCs w:val="18"/>
              </w:rPr>
              <w:t>Nellcor</w:t>
            </w:r>
            <w:proofErr w:type="spellEnd"/>
            <w:r w:rsidRPr="0009399B">
              <w:rPr>
                <w:rFonts w:cs="Arial"/>
                <w:sz w:val="18"/>
                <w:szCs w:val="18"/>
              </w:rPr>
              <w:t xml:space="preserve"> technologie.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99B2C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2D462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A6E92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29F0AF0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1769CA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E64334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50FA2ED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6BED2403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0668A5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neinvazívního tlaku s odděleným inflačním a měřícím systémem, dvouhadicové propojení s monitorem.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E95A5A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3C3BC9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CE690F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6CA13286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F1C22D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572263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730F328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6217939C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8B892B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min. 2 teplot (čidla pro měření rektální/jícnové a povrchové teploty).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19F6B0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197D07" w14:textId="77777777" w:rsidR="0008645F" w:rsidRDefault="0008645F" w:rsidP="00FD7A0C"/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DE4D22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6541F82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ED9D21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55DF26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02A4EA3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323C969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6C40E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lastRenderedPageBreak/>
              <w:t>Měření a zobrazení volitelně až 4 invazivních tlaků dle volby současně.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C14A4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0C354" w14:textId="77777777" w:rsidR="0008645F" w:rsidRDefault="0008645F" w:rsidP="00FD7A0C"/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228C8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2FC3747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858FF1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93EA56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35BC25F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4D078C14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933A2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SPV a PPV se zobrazením na příslušném monitoru.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EAA77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E5E30" w14:textId="77777777" w:rsidR="0008645F" w:rsidRDefault="0008645F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031CD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49C3618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7828DD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688DB6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B55FE40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0C5A0B4" w14:textId="77777777" w:rsidTr="00ED0595">
        <w:trPr>
          <w:gridAfter w:val="1"/>
          <w:wAfter w:w="75" w:type="dxa"/>
          <w:trHeight w:val="567"/>
        </w:trPr>
        <w:tc>
          <w:tcPr>
            <w:tcW w:w="935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3595C943" w14:textId="77777777" w:rsidR="0008645F" w:rsidRPr="00C17C12" w:rsidRDefault="0008645F" w:rsidP="00FD7A0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Možnost měření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Picco</w:t>
            </w:r>
            <w:proofErr w:type="spellEnd"/>
          </w:p>
        </w:tc>
        <w:tc>
          <w:tcPr>
            <w:tcW w:w="3038" w:type="dxa"/>
            <w:vAlign w:val="bottom"/>
          </w:tcPr>
          <w:p w14:paraId="4E56DBB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536F2A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80823A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B4D5513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8D98D8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2FB52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Použití stejné méně invazivní technologie snímání kontinuálního srdečního výdeje jako samostatný monitor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Picco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plus.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06237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4A143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B538B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650CAE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48587E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1BB0CA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FE1E9F7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6C6AA06D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699D4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Použití stejných katetrů.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83F8A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A960D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B79EA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630F65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F66B2B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1E29A7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D4C1FBD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7702D1E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95EB9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Parametry: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3B30E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8DD60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19C0A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5EEC28B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4E1C7E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4BF765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02C8828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28D2E4E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F8F6B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Preload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GEDI; SVV; PPV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Afterload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SVRI; MAP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Contractility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GEF; CFI;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dPmax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>;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DEC90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93158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6DF6C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07625F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F9C99D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5C62CF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EB7B621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3861A9D1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38439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Continuous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cardiac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output,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Transpulmonary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cardiac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output,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Stroke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volume,Cardiac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index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Continuous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cardiac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output index,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Stroke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volume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index,Global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end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diastolic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volume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Global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end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diastolic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volume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index,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Intrathoracic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blood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volume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Intrathoracic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blood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volume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index,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Stroke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volume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45B8B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8BF5C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1FA6D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2410DE7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63293C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D5B32D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EBB7419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299D4997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C7C63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variation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Pulse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pressure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variation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Global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ejection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fraction,Cardiac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function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index, Index of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left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ventricular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contractility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Systemic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vascular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resistance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Extravascular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lung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water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Extravascular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lung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water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index,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Cardiac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power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output,Cardiac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power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index,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Pulmonary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vascular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permeability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index,Invasive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blood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pressure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arterial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systolic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Invasive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blood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pressure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arterial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diastolic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Invasive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blood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pressure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arterial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mean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Pulse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rate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Injectate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Blood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temperature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CA40C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E6881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BF85B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D23663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2153DC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3F0919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F0DA5C4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5B68EB1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CE33A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Veškeré příslušenství nutné k zahájení provozu a měření všech uvedených parametrů: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5D27A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88B2F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3D1B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3D64DCA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1727E3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061B62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F953D99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6CE27F7C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02879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- 3 až 5 svodový EKG kabel se svody;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D9699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77A53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C76AC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7C1B15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CBD8FC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F40B29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00FE575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B8D899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1AAE9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- Saturační čidlo prstové s prodlužovacím kabelem;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69805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2B675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E7AA7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E940B7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088DA4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D2AADE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95E8E80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F957A8B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40519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- </w:t>
            </w:r>
            <w:r w:rsidRPr="0009399B">
              <w:rPr>
                <w:rFonts w:cs="Arial"/>
                <w:sz w:val="18"/>
                <w:szCs w:val="18"/>
              </w:rPr>
              <w:t xml:space="preserve">Manžeta NIBP </w:t>
            </w:r>
            <w:proofErr w:type="spellStart"/>
            <w:r w:rsidRPr="0009399B">
              <w:rPr>
                <w:rFonts w:cs="Arial"/>
                <w:sz w:val="18"/>
                <w:szCs w:val="18"/>
              </w:rPr>
              <w:t>dvouhadičkové</w:t>
            </w:r>
            <w:proofErr w:type="spellEnd"/>
            <w:r w:rsidRPr="0009399B">
              <w:rPr>
                <w:rFonts w:cs="Arial"/>
                <w:sz w:val="18"/>
                <w:szCs w:val="18"/>
              </w:rPr>
              <w:t xml:space="preserve"> dospělá, dětská, na předloktí pro </w:t>
            </w:r>
            <w:proofErr w:type="spellStart"/>
            <w:r w:rsidRPr="0009399B">
              <w:rPr>
                <w:rFonts w:cs="Arial"/>
                <w:sz w:val="18"/>
                <w:szCs w:val="18"/>
              </w:rPr>
              <w:t>bariatrické</w:t>
            </w:r>
            <w:proofErr w:type="spellEnd"/>
            <w:r w:rsidRPr="0009399B">
              <w:rPr>
                <w:rFonts w:cs="Arial"/>
                <w:sz w:val="18"/>
                <w:szCs w:val="18"/>
              </w:rPr>
              <w:t xml:space="preserve"> pacienty;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4868B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A6314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7D546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0CDC48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0FA6B8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1FC021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BEA1E34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4BD86CF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B158B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- Centrální teplotní čidlo.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63078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E1D31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2EA71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318E4D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D0EF1D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1602BE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182392F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6F7D36D" w14:textId="77777777" w:rsidTr="00ED0595">
        <w:trPr>
          <w:gridAfter w:val="1"/>
          <w:wAfter w:w="75" w:type="dxa"/>
          <w:trHeight w:val="567"/>
        </w:trPr>
        <w:tc>
          <w:tcPr>
            <w:tcW w:w="9357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48D8C546" w14:textId="77777777" w:rsidR="0008645F" w:rsidRPr="00093692" w:rsidRDefault="0008645F" w:rsidP="00FD7A0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Centrální monitorovací stanice - 1 ks</w:t>
            </w:r>
          </w:p>
        </w:tc>
        <w:tc>
          <w:tcPr>
            <w:tcW w:w="3038" w:type="dxa"/>
            <w:vAlign w:val="center"/>
          </w:tcPr>
          <w:p w14:paraId="3F14F934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vAlign w:val="center"/>
          </w:tcPr>
          <w:p w14:paraId="22A91383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vAlign w:val="center"/>
          </w:tcPr>
          <w:p w14:paraId="4B5E5757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vAlign w:val="center"/>
          </w:tcPr>
          <w:p w14:paraId="7D497AC5" w14:textId="77777777" w:rsidR="0008645F" w:rsidRDefault="0008645F" w:rsidP="00FD7A0C">
            <w:pPr>
              <w:spacing w:after="160" w:line="259" w:lineRule="auto"/>
              <w:jc w:val="center"/>
            </w:pPr>
          </w:p>
        </w:tc>
      </w:tr>
      <w:tr w:rsidR="0008645F" w14:paraId="2C073A1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6B9D0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Certifikované medicínské zařízení jako součást monitorovací sítě.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349C4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19894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73E54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F9F112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462E46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0E23E2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2784BF9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:rsidRPr="00DF18DA" w14:paraId="409CAB47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C6BC2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sz w:val="18"/>
                <w:szCs w:val="18"/>
              </w:rPr>
              <w:t xml:space="preserve">Připojení se stávajícími monitory B125 výrobce GE </w:t>
            </w:r>
            <w:proofErr w:type="spellStart"/>
            <w:r w:rsidRPr="0009399B">
              <w:rPr>
                <w:rFonts w:cs="Arial"/>
                <w:sz w:val="18"/>
                <w:szCs w:val="18"/>
              </w:rPr>
              <w:t>Healthcare</w:t>
            </w:r>
            <w:proofErr w:type="spellEnd"/>
            <w:r w:rsidRPr="0009399B">
              <w:rPr>
                <w:rFonts w:cs="Arial"/>
                <w:sz w:val="18"/>
                <w:szCs w:val="18"/>
              </w:rPr>
              <w:t xml:space="preserve"> na chirurgickém odd. i novými soutěženými monitory.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EBE6E" w14:textId="77777777" w:rsidR="0008645F" w:rsidRPr="00DF18DA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C4A58" w14:textId="77777777" w:rsidR="0008645F" w:rsidRPr="00DF18DA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CD747" w14:textId="77777777" w:rsidR="0008645F" w:rsidRPr="00DF18DA" w:rsidRDefault="0008645F" w:rsidP="00FD7A0C"/>
        </w:tc>
        <w:tc>
          <w:tcPr>
            <w:tcW w:w="3038" w:type="dxa"/>
            <w:vAlign w:val="bottom"/>
          </w:tcPr>
          <w:p w14:paraId="438B994E" w14:textId="77777777" w:rsidR="0008645F" w:rsidRPr="00DF18DA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D852F5C" w14:textId="77777777" w:rsidR="0008645F" w:rsidRPr="00DF18DA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976B715" w14:textId="77777777" w:rsidR="0008645F" w:rsidRPr="00DF18DA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A5A9897" w14:textId="77777777" w:rsidR="0008645F" w:rsidRPr="00DF18DA" w:rsidRDefault="0008645F" w:rsidP="00FD7A0C">
            <w:pPr>
              <w:spacing w:after="160" w:line="259" w:lineRule="auto"/>
            </w:pPr>
          </w:p>
        </w:tc>
      </w:tr>
      <w:tr w:rsidR="0008645F" w:rsidRPr="00DF18DA" w14:paraId="3BE13286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639523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sz w:val="18"/>
                <w:szCs w:val="18"/>
              </w:rPr>
              <w:t>Sledování a ovládání až 16 monitorů nebo telemetrie.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5D5174" w14:textId="77777777" w:rsidR="0008645F" w:rsidRPr="00DF18DA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0AC500" w14:textId="77777777" w:rsidR="0008645F" w:rsidRPr="00DF18DA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34867D" w14:textId="77777777" w:rsidR="0008645F" w:rsidRPr="00DF18DA" w:rsidRDefault="0008645F" w:rsidP="00FD7A0C"/>
        </w:tc>
        <w:tc>
          <w:tcPr>
            <w:tcW w:w="3038" w:type="dxa"/>
            <w:vAlign w:val="bottom"/>
          </w:tcPr>
          <w:p w14:paraId="69183C0E" w14:textId="77777777" w:rsidR="0008645F" w:rsidRPr="00DF18DA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1C4CC56" w14:textId="77777777" w:rsidR="0008645F" w:rsidRPr="00DF18DA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5DFE49F" w14:textId="77777777" w:rsidR="0008645F" w:rsidRPr="00DF18DA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9527863" w14:textId="77777777" w:rsidR="0008645F" w:rsidRPr="00DF18DA" w:rsidRDefault="0008645F" w:rsidP="00FD7A0C">
            <w:pPr>
              <w:spacing w:after="160" w:line="259" w:lineRule="auto"/>
            </w:pPr>
          </w:p>
        </w:tc>
      </w:tr>
      <w:tr w:rsidR="0008645F" w14:paraId="3AE23D6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C203C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lastRenderedPageBreak/>
              <w:t>Detailní zobrazení libovolného lůžkového monitoru.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D8AAA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D990A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4E314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8387D4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A2B3FA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8358CE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96AA253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48627CDD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A0D1B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Sledování minimálně 4 křivek všech pacientů na jedné obrazovce.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58E3D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E944D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C1528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734687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097606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A5A802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CF404A1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54DD07EC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D051A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Zobrazení, vyhodnocení, ukládání a tisk alarmových událostí.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96F9D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BCA95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762DD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58187C9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E71AC6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9F0316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EA32C07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4A8C9FE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5BA7B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Zobrazení, vyhodnocení, ukládání a tisk grafických a numerických trendů za 24 hod.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FE10B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92D1A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40A92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4D671D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1DAD14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29B47C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A1DF6A9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4F6644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FAAC7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Archivace, zobrazení a tisk minimálně 4 kompletních křivek od kteréhokoliv ze sledovaných pacientů za posledních 24 hod.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754CF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D4BBD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F5086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4C10DB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D388BB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D558C1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5ECB55C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8356B3D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13003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Režim pro detailní zobrazení vybraného monitoru s funkcí zadání základních údajů o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pacientovi a s funkcí ovládání monitoru dálkově (nastavení alarmů atd.).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BBCA1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048A6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FF22F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63A9B7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169F18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86399B6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00CDADF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9FA4257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FCEE9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Uživatelské rozhraní v ČJ, ovládání klávesnicí a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myší.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1B2FB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C4E6E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9A68F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5667723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994D57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DCED06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21E283B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1ED6F89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FD474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2 ks ploché displeje min 22“.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63F9B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2F280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E0680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7FC027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9F852C6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68C415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DB3B32C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35FD8313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C985D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Kompatibilní laserová tiskárna.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DE71B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7AD92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A284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5C798B2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DDC31E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37369D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DB07822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44420570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A37C2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Veškeré prvky pro ovládání a propojení monitorů se stávající centrálou na oddělení chirurgie.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9EEBD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8734B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BEBA6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AEC0C4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C9F085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C1076B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EA7BE73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60F1341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7745A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Propojení a instalace vč. kabelového datového propojení (rozvodů).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7724A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879AB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06777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7FE31F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DCFECF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CC2422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36FBEA3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25488D1C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8AED3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Využití stávajících rozvodů za podmínky plné záruky na veškeré repasované a obnovené části.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7A546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C595B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CB354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1D86AF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68D651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96B325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077F6EC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3CF08BE9" w14:textId="77777777" w:rsidTr="00ED0595">
        <w:trPr>
          <w:gridAfter w:val="1"/>
          <w:wAfter w:w="75" w:type="dxa"/>
          <w:trHeight w:val="567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B5A28B0" w14:textId="77777777" w:rsidR="0008645F" w:rsidRPr="00093692" w:rsidRDefault="0008645F" w:rsidP="00FD7A0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Zasíťování monitorovacího systému včetně instalace pro datovou komunikaci</w:t>
            </w:r>
          </w:p>
        </w:tc>
        <w:tc>
          <w:tcPr>
            <w:tcW w:w="3038" w:type="dxa"/>
            <w:vAlign w:val="center"/>
          </w:tcPr>
          <w:p w14:paraId="7CD7C6A5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vAlign w:val="center"/>
          </w:tcPr>
          <w:p w14:paraId="7CEC988E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vAlign w:val="center"/>
          </w:tcPr>
          <w:p w14:paraId="1BA58017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vAlign w:val="center"/>
          </w:tcPr>
          <w:p w14:paraId="372FB99D" w14:textId="77777777" w:rsidR="0008645F" w:rsidRDefault="0008645F" w:rsidP="00FD7A0C">
            <w:pPr>
              <w:spacing w:after="160" w:line="259" w:lineRule="auto"/>
              <w:jc w:val="center"/>
            </w:pPr>
          </w:p>
        </w:tc>
      </w:tr>
      <w:tr w:rsidR="0008645F" w14:paraId="600347D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34353F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Prohlášení výrobce o kybernetické bezpečnosti (MDS).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EB964B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F17E02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7BE67F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74672D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4AFD69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8C7C20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26AA330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75159E8" w14:textId="77777777" w:rsidTr="00ED0595">
        <w:trPr>
          <w:gridAfter w:val="1"/>
          <w:wAfter w:w="75" w:type="dxa"/>
          <w:trHeight w:val="567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8E725E4" w14:textId="77777777" w:rsidR="0008645F" w:rsidRPr="00355F88" w:rsidRDefault="0008645F" w:rsidP="0008645F">
            <w:pPr>
              <w:pStyle w:val="Odstavecseseznamem"/>
              <w:numPr>
                <w:ilvl w:val="0"/>
                <w:numId w:val="6"/>
              </w:num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55F88">
              <w:rPr>
                <w:rFonts w:cs="Arial"/>
                <w:b/>
                <w:bCs/>
                <w:color w:val="000000"/>
                <w:szCs w:val="20"/>
              </w:rPr>
              <w:t>Lůžkový a transportní monitor s </w:t>
            </w:r>
            <w:proofErr w:type="spellStart"/>
            <w:r w:rsidRPr="00355F88">
              <w:rPr>
                <w:rFonts w:cs="Arial"/>
                <w:b/>
                <w:bCs/>
                <w:color w:val="000000"/>
                <w:szCs w:val="20"/>
              </w:rPr>
              <w:t>multiparametrickým</w:t>
            </w:r>
            <w:proofErr w:type="spellEnd"/>
            <w:r w:rsidRPr="00355F88">
              <w:rPr>
                <w:rFonts w:cs="Arial"/>
                <w:b/>
                <w:bCs/>
                <w:color w:val="000000"/>
                <w:szCs w:val="20"/>
              </w:rPr>
              <w:t xml:space="preserve"> modulem v celkovém počtu 4 ks</w:t>
            </w:r>
          </w:p>
          <w:p w14:paraId="56A59D87" w14:textId="77777777" w:rsidR="0008645F" w:rsidRPr="00093692" w:rsidRDefault="0008645F" w:rsidP="00FD7A0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možnost měření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PiCCO</w:t>
            </w:r>
            <w:proofErr w:type="spellEnd"/>
            <w:r>
              <w:rPr>
                <w:rFonts w:cs="Arial"/>
                <w:b/>
                <w:bCs/>
                <w:color w:val="000000"/>
                <w:szCs w:val="20"/>
              </w:rPr>
              <w:t xml:space="preserve"> – CHIR</w:t>
            </w:r>
          </w:p>
        </w:tc>
        <w:tc>
          <w:tcPr>
            <w:tcW w:w="3038" w:type="dxa"/>
            <w:shd w:val="clear" w:color="auto" w:fill="FFFFFF" w:themeFill="background1"/>
            <w:vAlign w:val="center"/>
          </w:tcPr>
          <w:p w14:paraId="2A992E11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51891CD7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142435B5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4C2D0CD0" w14:textId="77777777" w:rsidR="0008645F" w:rsidRDefault="0008645F" w:rsidP="00FD7A0C">
            <w:pPr>
              <w:spacing w:after="160" w:line="259" w:lineRule="auto"/>
              <w:jc w:val="center"/>
            </w:pPr>
          </w:p>
        </w:tc>
      </w:tr>
      <w:tr w:rsidR="0008645F" w14:paraId="02A08647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F30B07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Integrovaný barevný displej 12“, atest pro bezpečné použití u lůžka pacienta.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FAB4D4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F80614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0DF7AC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30E3431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992DA9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1D8ED5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A16AABA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54AB9930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4C0A10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Ovládání monitoru v 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2AF176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7E310E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2CC33A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14A331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6966A2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372EC3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ADD3E4B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741F997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20AD63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Ovládání pomocí dotykové obrazovky.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A89ED5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E2327C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B7A879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DC6F33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46E375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34EBA4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E4D51A5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DFAC8B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10D6BF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Připojení myši a klávesnice přes USB port a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včetně možnosti rozšíření o dálkové ovládání.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0B1C66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4D6C0A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36A68E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37A0772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2078CF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6B71D3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9E7D59E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06DAE51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F21447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Možnost čtečka čárových kódů včetně SW pro identifikaci pacienta na základě čarového kódu používaného v nemocnici.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00C9CD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4A876D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A4528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277BB9D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096452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FE8ACC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C3961E8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4148806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AC51345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Automatická identifikace pacienta na základě čarového kódu generovaného nemocničním informačním systémem (NIS).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812099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CC61F3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D69559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F2C4AA6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138C1E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973C80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9CCCFB0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596E5CB1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72FE29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2 akumulátory (pro případ selhání jednoho z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nich) pro provoz bez síťového napájení po 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lastRenderedPageBreak/>
              <w:t>dobu min. 4 hodiny (zobrazení výdrže baterie na baterii i monitoru).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8D1F57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F85280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81E91F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2D8FE0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9968CD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FA50256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8575540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2A37CA3B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E6CBC3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Modulový box pro umístění min. 1 parametrického modulu jakéhokoliv z dodávky modulů pro lůžkové monitory.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23F366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3D57C3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5CA728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585A92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3B6640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7274E5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9F5EAA7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30B97BB1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5610CD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Modulární monitor využívající stejný oddělitelný víceparametrový modul dle níže uvedené specifikace.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CF5A5F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CAB671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C5F546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525F71B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29B74D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0DE4EC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B7FCBC8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AF95959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CB0C71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sz w:val="18"/>
                <w:szCs w:val="18"/>
              </w:rPr>
              <w:t>Zobrazení libovolné křivky EKG při snímání z</w:t>
            </w:r>
            <w:r>
              <w:rPr>
                <w:rFonts w:cs="Arial"/>
                <w:sz w:val="18"/>
                <w:szCs w:val="18"/>
              </w:rPr>
              <w:t> </w:t>
            </w:r>
            <w:r w:rsidRPr="0009399B"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> </w:t>
            </w:r>
            <w:r w:rsidRPr="0009399B">
              <w:rPr>
                <w:rFonts w:cs="Arial"/>
                <w:sz w:val="18"/>
                <w:szCs w:val="18"/>
              </w:rPr>
              <w:t>a 5 a 12 svodů včetně zobrazení tepové frekvence.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A92E68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662013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E96001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714DDC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68E00B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0BDBD3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A103620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6EF52899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E55824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sz w:val="18"/>
                <w:szCs w:val="18"/>
              </w:rPr>
              <w:t>Automatická analýza, záznam a tisk arytmií z</w:t>
            </w:r>
            <w:r>
              <w:rPr>
                <w:rFonts w:cs="Arial"/>
                <w:sz w:val="18"/>
                <w:szCs w:val="18"/>
              </w:rPr>
              <w:t> </w:t>
            </w:r>
            <w:r w:rsidRPr="0009399B">
              <w:rPr>
                <w:rFonts w:cs="Arial"/>
                <w:sz w:val="18"/>
                <w:szCs w:val="18"/>
              </w:rPr>
              <w:t>min. 4 svodů současně (minimálně asystolie, komorová a síňová fibrilace, tachykardie, bradykardie).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732861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E10022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CEEB99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3A311ED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9797BF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495ACB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D0FB73B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D9E0C7D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237170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sz w:val="18"/>
                <w:szCs w:val="18"/>
              </w:rPr>
              <w:t>Analýza ST úseku min. ze 4 svodů současně, s</w:t>
            </w:r>
            <w:r>
              <w:rPr>
                <w:rFonts w:cs="Arial"/>
                <w:sz w:val="18"/>
                <w:szCs w:val="18"/>
              </w:rPr>
              <w:t> </w:t>
            </w:r>
            <w:r w:rsidRPr="0009399B">
              <w:rPr>
                <w:rFonts w:cs="Arial"/>
                <w:sz w:val="18"/>
                <w:szCs w:val="18"/>
              </w:rPr>
              <w:t>grafickým zobrazením trendu a aktuální elevace/deprese ST na průměrném QRS komplexu.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C3B944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A74EE7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8ACEA8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2826DB9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5C34AE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01C92D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3397082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2566356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51C20C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NIBP s nastavením automatického režimu měření a se zobrazením numerické hodnoty.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8E0765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BEA102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33A91D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9EB79C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9ABA2A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88AE46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36A7063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592DDD11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1B3CB4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teploty ze 2 čidel se zobrazením numerické hodnoty.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F4BD7F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16B7DB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983D2D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56FC16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B5BBFB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9D6E93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4BE7225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228F69E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86B708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SpO2, PR.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289049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342D50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BB4C5F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56DD18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10BC2A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B36F9E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71EC599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E053B6D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DDBAC5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impedanční respirace.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531632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87551A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D8B796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807DA1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047AF0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91187B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091375A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08A8940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C5CC98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sz w:val="18"/>
                <w:szCs w:val="18"/>
              </w:rPr>
              <w:t xml:space="preserve">Měření až 4 invazivních 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tlaků se zobrazením křivky a numerické hodnoty podle rozsahu aktivních parametrů.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46B0C6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F84F55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083A95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39BC43A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67BB86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35F233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3D79562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9B3669F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C01C03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Současné měření parametrů SPV a PPV ventilovaných pacientů s trendy při transportu.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DFF8F09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1F1972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2007B4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5BD43D56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841E7E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369823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1B4A1E3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2467D58D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749D7C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Možnost měření srdečního výdeje přenositelným modulem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termodilucí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metodou měření teploty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injektátu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in-line se zobrazením křivky a numerické hodnoty a s průměrováním výsledku s průměrováním výsledku 6 měření.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CA489C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5042BE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1D4419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0CA3B16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949AA3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A12BC3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BCA8BF3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2417BD0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7847D5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Možnost měření EtCO2 přenositelným modulem se zobrazením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kapnometrické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křivky.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688667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F8F6F4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26F12B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9FEC24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D701ED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15B2FE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248E9E4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432E9C8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37A5F0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Grafické trendy a číselné trendy minimálně za posledních 24 hodin s minimálním rozlišením 1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minuta.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E5DE0C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8467EB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93A26D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3CAF36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BE8C56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BE909F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62FCF41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44D76FE4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378516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Současné zobrazení minimálně 6 libovolně zvolených křivek a 10 číselných parametrů.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F996F9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21C393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588E35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E545CC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576EEE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EB7830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12BB54F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64452299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EC4FA7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Zabudovaná kalkulačka pro výpočet dávkování léčiv.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B87AA1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455ED6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54043E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D33A9D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206BB5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74D376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853DCAA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5E1188E0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4D344D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Zabudovaná kalkulačka pro výpočet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hemodynamických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a ventilačních parametrů na základě monitorem sledovaných hodnot.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DC5D50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F4C31D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EE35E1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2C95ECC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EAA5C4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8A1CCA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236095A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6EC9C11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BCE8A4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Minimálně 6 uživatelsky konfigurovatelných profilů monitoru s přednastavenými alarmy podle stavu pacienta, každý s minimálně 3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uživatelsky konfigurovatelnými obrazovkami včetně rychlé změny režimů a obrazovek dle závažnosti stavu pacienta a speciálních procedur.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35D1AB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B94AC9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76EDAB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6887B2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CE8A22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3A204C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99EA9FF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6A3E7A1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2BF864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Systém hlášení alarmových stavů </w:t>
            </w:r>
            <w:r w:rsidRPr="0009399B">
              <w:rPr>
                <w:sz w:val="18"/>
                <w:szCs w:val="18"/>
              </w:rPr>
              <w:t>s minimálně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4 úrovněmi.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E4E15B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A62F68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759056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52EE7C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37E30B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B1F55D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C2BE008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95EE74C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DE561C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Nastavení limitních hodnot pro hlášení alarmových stavů pro každý ze sledovaných parametrů.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9A723F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1DC14F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8DFF83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579042B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45B751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3A8BA3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AFBCFC8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5789350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DC3EED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Připojení do monitorovací sítě včetně přístupu z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sz w:val="18"/>
                <w:szCs w:val="18"/>
              </w:rPr>
              <w:t xml:space="preserve">libovolného lůžkového monitoru na druhý, stávajících (B125 výrobce GE </w:t>
            </w:r>
            <w:proofErr w:type="spellStart"/>
            <w:r w:rsidRPr="0009399B">
              <w:rPr>
                <w:rFonts w:cs="Arial"/>
                <w:sz w:val="18"/>
                <w:szCs w:val="18"/>
              </w:rPr>
              <w:t>Healthcare</w:t>
            </w:r>
            <w:proofErr w:type="spellEnd"/>
            <w:r w:rsidRPr="0009399B">
              <w:rPr>
                <w:rFonts w:cs="Arial"/>
                <w:sz w:val="18"/>
                <w:szCs w:val="18"/>
              </w:rPr>
              <w:t>) i</w:t>
            </w:r>
            <w:r>
              <w:rPr>
                <w:rFonts w:cs="Arial"/>
                <w:sz w:val="18"/>
                <w:szCs w:val="18"/>
              </w:rPr>
              <w:t> </w:t>
            </w:r>
            <w:r w:rsidRPr="0009399B">
              <w:rPr>
                <w:rFonts w:cs="Arial"/>
                <w:sz w:val="18"/>
                <w:szCs w:val="18"/>
              </w:rPr>
              <w:t xml:space="preserve">nových 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lůžkový monitorů v rámci oddělení.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66EEBA" w14:textId="77777777" w:rsidR="0008645F" w:rsidRPr="00241E4F" w:rsidRDefault="0008645F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E12D3D" w14:textId="77777777" w:rsidR="0008645F" w:rsidRDefault="0008645F" w:rsidP="00FD7A0C"/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914491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08004C7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E831AC6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6A6DCB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A6E60EC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4E5E163C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C3E140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Veškeré příslušenství nutné k zahájení provozu a měření všech uvedených parametrů.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A52554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95A92A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8752B9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27D725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197C26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608D01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B24D075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C3F42A4" w14:textId="77777777" w:rsidTr="00ED0595">
        <w:trPr>
          <w:gridAfter w:val="1"/>
          <w:wAfter w:w="75" w:type="dxa"/>
          <w:trHeight w:val="567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A87CDD9" w14:textId="77777777" w:rsidR="0008645F" w:rsidRPr="00D06DAA" w:rsidRDefault="0008645F" w:rsidP="00FD7A0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CA52CD">
              <w:rPr>
                <w:rFonts w:cs="Arial"/>
                <w:b/>
                <w:bCs/>
                <w:color w:val="000000"/>
                <w:szCs w:val="20"/>
              </w:rPr>
              <w:t>Víceparametrový transportní modul ke sledování základních životních funkcí použitelný ve všech nabízených monitorech s autonomní funkcí záznamu dat</w:t>
            </w:r>
          </w:p>
        </w:tc>
        <w:tc>
          <w:tcPr>
            <w:tcW w:w="3038" w:type="dxa"/>
            <w:shd w:val="clear" w:color="auto" w:fill="FFFFFF" w:themeFill="background1"/>
            <w:vAlign w:val="center"/>
          </w:tcPr>
          <w:p w14:paraId="16F0AD57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2A369C3A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0C142AB3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7CB6CF65" w14:textId="77777777" w:rsidR="0008645F" w:rsidRDefault="0008645F" w:rsidP="00FD7A0C">
            <w:pPr>
              <w:spacing w:after="160" w:line="259" w:lineRule="auto"/>
              <w:jc w:val="center"/>
            </w:pPr>
          </w:p>
        </w:tc>
      </w:tr>
      <w:tr w:rsidR="0008645F" w14:paraId="04E02317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EC453F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Vybavení všech lůžkových monitorů včetně transportního monitoru shodným </w:t>
            </w:r>
            <w:r w:rsidRPr="0009399B">
              <w:rPr>
                <w:sz w:val="18"/>
                <w:szCs w:val="18"/>
              </w:rPr>
              <w:t>a v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systému přenositelným (zaměnitelným) víceparametrovým monitorovacím modulem.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298085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3420E5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DEBBF9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8DDFD9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755BA2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ED27A0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B9F2F22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D04A749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AEE6E0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Sledování pacienta přenositelným modulem na lůžkových monitorech, záznam dat o pacientovi v samotném modulu v době transportu s pacientem mezi všemi monitory bez přepojování kabelů a čidel, s kontinuálním sběrem dat a trendů od prvního připojení pacienta.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1DBD7B9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EF9E76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9EEEEE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3441070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DB7D7A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0D93DB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9228993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3477F9C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92A863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Ukládání monitorovaných hodnot do paměti po dobu minimálně 24 hodin s rozlišením 1 minuta.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52A406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6B4DA7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8EC07C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367B0D1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9B2267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27A676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CDE3297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3DB5BD0F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F7325A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EKG snímané ze </w:t>
            </w:r>
            <w:r w:rsidRPr="0009399B">
              <w:rPr>
                <w:rFonts w:cs="Arial"/>
                <w:sz w:val="18"/>
                <w:szCs w:val="18"/>
              </w:rPr>
              <w:t xml:space="preserve">3, 5, 12 svodů, analýza ST (včetně trendů) a arytmií s ukládáním 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do paměti.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5386C0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656EB5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54F270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8E5A6F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D439B1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5A0915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BF4E9AF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75403F3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22C42A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Stanovení respirace impedanční metodou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CC3F52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A6123E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16BA80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3EFDA28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3501F2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3C90C4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2E85D66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85DBFF9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28385A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Měření pulsní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oximetrie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(SpO2) prstovým saturačním čidlem, technologie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Masimo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nebo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Nellcor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069B94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8B5029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8F151B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A2968F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1AD133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7C6068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2F47CA0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92E4949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9A6F9F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Měření neinvazívního tlaku s odděleným inflačním </w:t>
            </w:r>
            <w:r w:rsidRPr="0009399B">
              <w:rPr>
                <w:rFonts w:cs="Arial"/>
                <w:sz w:val="18"/>
                <w:szCs w:val="18"/>
              </w:rPr>
              <w:t xml:space="preserve">a měřícím systémem pro přesnější měření, dvouhadicové 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propojení s monitorem.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B9217F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46CCD8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2D4DCA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B0E17A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6AD156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91B578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8F8BB18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4D83047D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FBE2686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min. 2 teplot (čidla pro měření rektální/jícnové a povrchové teploty).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CD8B493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9459B3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41E9E3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39B69CB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DA698A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B3A404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4C03A22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4AF28F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501CF5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a zobrazení volitelně až 4 invazivních tlaků dle volby současně.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73ABE9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96D95F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1DCF2D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2A1DDF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6CE58B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52EB04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B2DBCC2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4EA17EF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C3079D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SPV a PPV se zobrazením na příslušném monitoru.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07C5E3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3F639E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DD692E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F19002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D28789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4A631B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6CCECB4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370A137E" w14:textId="77777777" w:rsidTr="00ED0595">
        <w:trPr>
          <w:gridAfter w:val="1"/>
          <w:wAfter w:w="75" w:type="dxa"/>
          <w:trHeight w:val="567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2490D82C" w14:textId="77777777" w:rsidR="0008645F" w:rsidRPr="00E60C63" w:rsidRDefault="0008645F" w:rsidP="00FD7A0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Možnost měření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Picco</w:t>
            </w:r>
            <w:proofErr w:type="spellEnd"/>
          </w:p>
        </w:tc>
        <w:tc>
          <w:tcPr>
            <w:tcW w:w="3038" w:type="dxa"/>
            <w:vAlign w:val="bottom"/>
          </w:tcPr>
          <w:p w14:paraId="63C1CEE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D2C23C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1646BC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4882BEE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058C39B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9A8DEF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Použití stejné méně invazivní technologie snímání kontinuálního srdečního výdeje jako samostatný monitor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Picco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plus.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43D666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84F952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5D98C6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22BAE9E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7AC141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F8A9F2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4086007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D4281DB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551410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Použití stejných katetrů.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EF5BF1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A6F3E3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E6FBF2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565C3A6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B39197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892F63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8FBC1B1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310D130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7CB799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Parametry: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9C7153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B46A06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543F2C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D08506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3015BF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63185F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4EE3FC1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22D4C0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3604DD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Preload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GEDI; SVV; PPV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Afterload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SVRI; MAP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Contractility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GEF; CFI;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dPmax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6577D1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B2451F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1298F2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B8237D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DA5B26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8B9540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8D9AF77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337945E9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CACD02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Continuous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cardiac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output,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Transpulmonary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cardiac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output,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Stroke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volume,Cardiac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index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Continuous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cardiac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output index,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Stroke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volume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index,Global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end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diastolic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volume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Global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end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diastolic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volume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index,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Intrathoracic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blood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volume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Intrathoracic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blood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volume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index,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Stroke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volume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27BA76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294113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B2214A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1B3CDE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9EDFAD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9BCFC9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2334209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8DDD51B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7BD230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variation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Pulse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pressure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variation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Global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ejection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fraction,Cardiac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function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index, Index of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left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ventricular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contractility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Systemic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vascular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resistance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Extravascular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lung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water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Extravascular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lung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water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index,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Cardiac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power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output,Cardiac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power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index,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Pulmonary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vascular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permeability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index,Invasive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blood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pressure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arterial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systolic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Invasive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blood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pressure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arterial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diastolic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Invasive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blood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pressure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arterial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mean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Pulse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rate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Injectate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Blood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3B4D68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15840C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777E2D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030589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9C292D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886EAD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AEBF334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96F3F6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1451DA9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Veškeré příslušenství nutné k zahájení provozu a měření všech uvedených parametrů;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8FC6B9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C75105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7BEDEE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5763976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2B34ED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3E539F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BEDB617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50441BD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E07BAF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- 3 až 5 svodový EKG kabel se svody.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F5A890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507ACD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83BFD2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F62C1B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AAE6F0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0E57E4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F2A9933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686ADB4B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ECA034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- Saturační čidlo prstové s prodlužovacím kabelem.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CAE554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CC7359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720122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27A2737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E341DE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06B1A6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7E1B1B2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972441C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6BC015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- Manžeta NIBP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dvouhadičkové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dospělá, dětská na předloktí pro geriatrické pacienty.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B4DECA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D3BA36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9B6064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7CDADB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88D8FE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9D695F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844FB87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5010F7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ABA663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- Centrální teplotní čidlo.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1AF0FF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9C0FA0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102E51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34CD8DF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CCB89C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77183B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8D6D6F4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37C59F4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BAB38E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- 4 čidla pro měření vědomí.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86FCF7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A37A48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96DADF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2257782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0A838A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092D82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C7C314E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A2CE15A" w14:textId="77777777" w:rsidTr="00ED0595">
        <w:trPr>
          <w:gridAfter w:val="1"/>
          <w:wAfter w:w="75" w:type="dxa"/>
          <w:trHeight w:val="567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5493863C" w14:textId="77777777" w:rsidR="0008645F" w:rsidRPr="00E60C63" w:rsidRDefault="0008645F" w:rsidP="00FD7A0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Centrální monitorovací stanice - 1 ks</w:t>
            </w:r>
          </w:p>
        </w:tc>
        <w:tc>
          <w:tcPr>
            <w:tcW w:w="3038" w:type="dxa"/>
            <w:shd w:val="clear" w:color="auto" w:fill="FFFFFF" w:themeFill="background1"/>
            <w:vAlign w:val="center"/>
          </w:tcPr>
          <w:p w14:paraId="3A918629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7BD4AEFA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2949B617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0BDB6135" w14:textId="77777777" w:rsidR="0008645F" w:rsidRDefault="0008645F" w:rsidP="00FD7A0C">
            <w:pPr>
              <w:spacing w:after="160" w:line="259" w:lineRule="auto"/>
              <w:jc w:val="center"/>
            </w:pPr>
          </w:p>
        </w:tc>
      </w:tr>
      <w:tr w:rsidR="0008645F" w14:paraId="24668D4B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CE3541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Certifikované medicínské zařízení jako součást monitorovací sítě.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DDC652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0E0B1D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CD0A69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01544C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AFD1A1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ADF491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304A624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F62F01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474466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09399B">
              <w:rPr>
                <w:rFonts w:cs="Arial"/>
                <w:sz w:val="18"/>
                <w:szCs w:val="18"/>
              </w:rPr>
              <w:t xml:space="preserve">Připojení se stávajícími monitory B125 výrobce GE </w:t>
            </w:r>
            <w:proofErr w:type="spellStart"/>
            <w:r w:rsidRPr="0009399B">
              <w:rPr>
                <w:rFonts w:cs="Arial"/>
                <w:sz w:val="18"/>
                <w:szCs w:val="18"/>
              </w:rPr>
              <w:t>Healthcare</w:t>
            </w:r>
            <w:proofErr w:type="spellEnd"/>
            <w:r w:rsidRPr="0009399B">
              <w:rPr>
                <w:rFonts w:cs="Arial"/>
                <w:sz w:val="18"/>
                <w:szCs w:val="18"/>
              </w:rPr>
              <w:t xml:space="preserve"> na chirurgickém odd. i novými soutěženými monitory.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17C1D8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742534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C41C66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3C82641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146F44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A159EB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A775775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2162B67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A12188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Připojení minimálně 16lůžkových a transportních monitorů.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903851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CD7A6E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DEA34F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92BBCE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DFAD46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AB2DE7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B0C4DED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A1B0C24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8BF1FF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Sledování a ovládání až 16 monitorů.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CFACEA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294859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C97923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E3928D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1E0234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EB5777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2B3E312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103AB6A6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ADC2C7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Detailní zobrazení libovolného lůžkového monitoru.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163650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2E9C2A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29CFE6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34197FD3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149904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E2FD5D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C2B9D34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526857D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7DC137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Sledování minimálně 4 křivek všech pacientů na jedné obrazovce.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6A3CAF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A70061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C67E5A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32EA18F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9CB8BA6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0B93EB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DA6C88C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3C93705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FE7055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Zobrazení, vyhodnocení, ukládání a tisk alarmových událostí.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281A36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825F55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903849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3CC44B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E7659E1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D630EBE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C394831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7DA27871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49B336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Zobrazení, vyhodnocení, ukládání a tisk grafických a numerických trendů za 24 hod.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96D1740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21DD2B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2EC28B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53EA152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63A5E05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835D26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3D5015F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8142BB1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CF38C92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Archivace, zobrazení a tisk minimálně 4 kompletních křivek od kteréhokoliv ze sledovaných pacientů za posledních 24 hod.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64B142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F0D9E3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E3BA0C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C653D5D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2F02546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1D2DE7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1ACAA75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38B3D8F3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DCC90C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lastRenderedPageBreak/>
              <w:t>Režim pro detailní zobrazení vybraného monitoru s funkcí zadání základních údajů o pacientovi a s funkcí ovládání monitoru dálkově (nastavení alarmů atd.)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197720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FBCF16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4424E8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C48AEA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B61F25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79B0F8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2AFAE05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50568117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96A1AA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Uživatelské rozhraní v ČJ, ovládání klávesnicí a myší.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C4EA39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5A6307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95C09D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60AFBE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E6FE2C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55CE7A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82FE44F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28FE3E31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A339C1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2 ks ploché displeje min 22“.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EB7842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7138F8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A35664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435FB10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5ED929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61E9044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D914483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4FF7B679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A4A728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Kompatibilní laserová tiskárna.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AD7CB4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95D0B3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740531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5CF8226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64CF40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13AA13C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1485BD5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3231261B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D200D5B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Veškeré prvky pro ovládání a propojení monitorů se stávající centrálou.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AD59B8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578C7B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B54412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C013AFB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640A43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8E8EE0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B0176A2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350013E0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8F9A06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Propojení a instalace vč. kabelového datového propojení (rozvodů).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14A534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12B19B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344892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25D0EAE6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AD03592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0A40ED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0D9F7B1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6594EF53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073DCB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Využití stávajících rozvodů za podmínky plné záruky na veškeré repasované a obnovené části.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DA8CE5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5BFDD0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24FF7B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C6A199A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D6515F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A0889A8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495E592" w14:textId="77777777" w:rsidR="0008645F" w:rsidRDefault="0008645F" w:rsidP="00FD7A0C">
            <w:pPr>
              <w:spacing w:after="160" w:line="259" w:lineRule="auto"/>
            </w:pPr>
          </w:p>
        </w:tc>
      </w:tr>
      <w:tr w:rsidR="0008645F" w14:paraId="0CA46854" w14:textId="77777777" w:rsidTr="00ED0595">
        <w:trPr>
          <w:gridAfter w:val="1"/>
          <w:wAfter w:w="75" w:type="dxa"/>
          <w:trHeight w:val="567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1DAE2277" w14:textId="77777777" w:rsidR="0008645F" w:rsidRPr="0016527C" w:rsidRDefault="0008645F" w:rsidP="00FD7A0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Zasíťování monitorovacího systému včetně instalace pro datovou komunikaci</w:t>
            </w:r>
          </w:p>
        </w:tc>
        <w:tc>
          <w:tcPr>
            <w:tcW w:w="3038" w:type="dxa"/>
            <w:shd w:val="clear" w:color="auto" w:fill="FFFFFF" w:themeFill="background1"/>
            <w:vAlign w:val="center"/>
          </w:tcPr>
          <w:p w14:paraId="3C6CE481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38870853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2F571B5D" w14:textId="77777777" w:rsidR="0008645F" w:rsidRDefault="0008645F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3BC19601" w14:textId="77777777" w:rsidR="0008645F" w:rsidRDefault="0008645F" w:rsidP="00FD7A0C">
            <w:pPr>
              <w:spacing w:after="160" w:line="259" w:lineRule="auto"/>
              <w:jc w:val="center"/>
            </w:pPr>
          </w:p>
        </w:tc>
      </w:tr>
      <w:tr w:rsidR="0008645F" w14:paraId="45E5995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430854" w14:textId="77777777" w:rsidR="0008645F" w:rsidRPr="0009399B" w:rsidRDefault="0008645F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Prohlášení výrobce o kybernetické bezpečnosti (MDS).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A33FA2" w14:textId="77777777" w:rsidR="0008645F" w:rsidRPr="00241E4F" w:rsidRDefault="0008645F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CCD768" w14:textId="77777777" w:rsidR="0008645F" w:rsidRDefault="0008645F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709B67" w14:textId="77777777" w:rsidR="0008645F" w:rsidRPr="00BB7702" w:rsidRDefault="0008645F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506AA77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BC66E39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67F561F" w14:textId="77777777" w:rsidR="0008645F" w:rsidRDefault="0008645F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E17E62A" w14:textId="77777777" w:rsidR="0008645F" w:rsidRDefault="0008645F" w:rsidP="00FD7A0C">
            <w:pPr>
              <w:spacing w:after="160" w:line="259" w:lineRule="auto"/>
            </w:pPr>
          </w:p>
        </w:tc>
      </w:tr>
      <w:tr w:rsidR="00ED0595" w14:paraId="36825862" w14:textId="77777777" w:rsidTr="00ED0595">
        <w:trPr>
          <w:gridAfter w:val="1"/>
          <w:wAfter w:w="75" w:type="dxa"/>
          <w:trHeight w:val="567"/>
        </w:trPr>
        <w:tc>
          <w:tcPr>
            <w:tcW w:w="935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0EABC430" w14:textId="665AF189" w:rsidR="00ED0595" w:rsidRPr="00ED0595" w:rsidRDefault="00ED0595" w:rsidP="00ED0595">
            <w:pPr>
              <w:pStyle w:val="Odstavecseseznamem"/>
              <w:numPr>
                <w:ilvl w:val="0"/>
                <w:numId w:val="6"/>
              </w:numPr>
              <w:jc w:val="center"/>
              <w:rPr>
                <w:b/>
                <w:bCs/>
              </w:rPr>
            </w:pPr>
            <w:r w:rsidRPr="00ED0595">
              <w:rPr>
                <w:b/>
                <w:bCs/>
              </w:rPr>
              <w:t>Monitory (6 ks) s centrálou (1 ks) a telemetrií (6 ks) - INT</w:t>
            </w:r>
          </w:p>
          <w:p w14:paraId="6E9229D8" w14:textId="77777777" w:rsidR="00ED0595" w:rsidRPr="00BB7702" w:rsidRDefault="00ED0595" w:rsidP="00FD7A0C">
            <w:pPr>
              <w:jc w:val="center"/>
              <w:rPr>
                <w:color w:val="FF0000"/>
              </w:rPr>
            </w:pPr>
            <w:r w:rsidRPr="00C049DB">
              <w:rPr>
                <w:b/>
                <w:bCs/>
              </w:rPr>
              <w:t>Lůžkové monitory 6 ks</w:t>
            </w:r>
          </w:p>
        </w:tc>
        <w:tc>
          <w:tcPr>
            <w:tcW w:w="3038" w:type="dxa"/>
            <w:vAlign w:val="bottom"/>
          </w:tcPr>
          <w:p w14:paraId="785C3D7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5AE59E5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CBB561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9E1CD01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9F68AD7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58A35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6 ks modulární transportní a lůžkový monitor, barevný dotykový LCD display s velikostí min.12“.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3EE98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500CF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CB287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5B89E11F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38E5AA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7394E5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C7FB2AF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2E6FCF33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9147A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2 akumulátory (pro případ selhání jednoho z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nich) pro provoz bez síťového napájení po dobu min. 4 hod (zobrazení výdrže baterie na baterii i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monitoru).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352E8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045CF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2BA2A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5C4CD54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A9F4117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A90D49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1387867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204F463D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CB1D2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Možnost připojení zcela nezávislého duálního ovládání pomocí velkého externího 19“ dotykového displeje.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E740B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6B106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203BA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38F5DA87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ACD2C5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C2B8B8E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D95A106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6C562230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64ABC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Možnost plného zobrazení až 10 křivek na obrazovce.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DC718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BB16B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23D93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C50F2DE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881E68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A764FA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7DB1F8C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21EBB8A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A6D98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Monitor bude mít datovou přípojku pro budoucí centrální monitor.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B3842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A2639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9486D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FAC50D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0A640B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50E7D6E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7EEDEF1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40F6B1A9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827FF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Volně konfigurovatelné zobrazení umožní nastavení několika předem uživatelsky volitelných a nastavitelných profilů zobrazení pro rychlou změnu obrazovky dle závažnosti stavu pacienta, nebo při transportu eliminujících rušivé alarmy.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36477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1E267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75399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E9EE7A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12AC28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076418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3BC1175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35A2646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A7969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Integrovaný software je dodán v rozsahu pokrývajícím všechny potřeby intenzívní péče bez nutnosti jeho změny při doplnění jakýchkoliv budoucích parametrů včetně plynové analýzy a ICP.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082E4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A452F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D0C8B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5FA6FC9F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4364E95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271766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5D84A2C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28370FC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1DABF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Lůžkový monitor musí být schopen zobrazovat trendy v grafické nebo číselné formě po dobu až 72 hodin, zobrazovat všechny vzniklé události alarmových stavů a tisk těchto dat na připojené tiskárně.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18E61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FF389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E8F83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6E445A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E5189F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92772B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968E571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4E77CB31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4CBBC" w14:textId="77777777" w:rsidR="00ED0595" w:rsidRPr="0009399B" w:rsidRDefault="00ED0595" w:rsidP="00FD7A0C">
            <w:pPr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Český jazyk použitého SW.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8DCF7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1B842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6B596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9610DD7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B5CBC7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FB7B08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4FCB9FB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7EE59343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BAFE0D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lastRenderedPageBreak/>
              <w:t>Požadavky na sestavu měřených parametrů: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B11E19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DC9C11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5C231A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CBB57A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A1DF51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A5023F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F814FF7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272120D1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4F7E0E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Monitor má přenositelný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multiparametrický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modul a min. jeden slot pro přídavný modul.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A3BDB9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B2257F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5530F5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8440D34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5BB7AC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462EE80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2649125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0E0E76F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F4CCBD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Jeden </w:t>
            </w:r>
            <w:r w:rsidRPr="0009399B">
              <w:rPr>
                <w:rFonts w:cs="Arial"/>
                <w:sz w:val="18"/>
                <w:szCs w:val="18"/>
              </w:rPr>
              <w:t xml:space="preserve">volný slot pro možnost měření např. CO2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sidestream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5F4E32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479E57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926911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2D57582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209EF3F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22BF07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AB5085B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4F3CA7EE" w14:textId="77777777" w:rsidTr="00ED0595">
        <w:trPr>
          <w:gridAfter w:val="1"/>
          <w:wAfter w:w="75" w:type="dxa"/>
          <w:trHeight w:val="567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5BF65E0F" w14:textId="77777777" w:rsidR="00ED0595" w:rsidRPr="00BB7702" w:rsidRDefault="00ED0595" w:rsidP="00FD7A0C">
            <w:pPr>
              <w:jc w:val="center"/>
              <w:rPr>
                <w:color w:val="FF000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Víceparametrový transportní modul ke sledování základních životních funkcí použitelný ve všech nabízených monitorech s autonomní funkcí záznamu dat (6 ks)</w:t>
            </w:r>
          </w:p>
        </w:tc>
        <w:tc>
          <w:tcPr>
            <w:tcW w:w="3038" w:type="dxa"/>
            <w:vAlign w:val="center"/>
          </w:tcPr>
          <w:p w14:paraId="1583431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7B264F5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1D7F86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5614264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67729660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338BD" w14:textId="7AA942C4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Vybavení všech lůžkových monitorů monitorem shodným a v systému přenositelným (zaměnitelným) víceparametrovým monitorovacím modulem.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49E59" w14:textId="77777777" w:rsidR="00ED0595" w:rsidRPr="00241E4F" w:rsidRDefault="00ED0595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BA78F" w14:textId="77777777" w:rsidR="00ED0595" w:rsidRDefault="00ED0595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7C9A8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6B3FE80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DB63981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2C8CA3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C02EE09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611D893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FC92D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Sledování pacienta přenositelným modulem na lůžkových monitorech, záznam dat o pacientovi v samotném modulu v době transportu s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pacientem mezi všemi monitory bez přepojování kabelů a čidel, s kontinuálním sběrem dat a trendů od prvního připojení pacienta.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59731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61674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85050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2FDDBD51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8B4A55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538D1E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FDA5594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9C5DA2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E2FA8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Interface pro synchronizaci defibrilátoru a intraaortální pumpy (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kontrapulzace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>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718F9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5D33B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58947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1A0329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9C1EE3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FDBF377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4180D60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5A8C4444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E6EBE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Ukládání monitorovaných hodnot do paměti po dobu minimálně 24 hodin s rozlišením 1 minuta.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B5CCC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3B58E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8F250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074A5D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60B7E4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1F83AB7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AF16A6A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7E0FE026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3C3C9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EKG snímané ze 3, 5, 6 nebo 12 svodů.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AE31E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7BB5B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B7A82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007AF0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1D1BB24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6051EA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D750A10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13B0B8F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717ED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Stanovení respirace impedanční metodou.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DBE56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B978C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1B970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0E3E6E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21D6D35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DF33C74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76322CE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0D381DC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734CF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Měření pulsní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oximetrie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(SpO2) prstovým </w:t>
            </w:r>
            <w:r w:rsidRPr="0009399B">
              <w:rPr>
                <w:rFonts w:cs="Arial"/>
                <w:sz w:val="18"/>
                <w:szCs w:val="18"/>
              </w:rPr>
              <w:t xml:space="preserve">saturačním čidlem </w:t>
            </w:r>
            <w:proofErr w:type="spellStart"/>
            <w:r w:rsidRPr="0009399B">
              <w:rPr>
                <w:rFonts w:cs="Arial"/>
                <w:sz w:val="18"/>
                <w:szCs w:val="18"/>
              </w:rPr>
              <w:t>Masimo</w:t>
            </w:r>
            <w:proofErr w:type="spellEnd"/>
            <w:r w:rsidRPr="0009399B">
              <w:rPr>
                <w:rFonts w:cs="Arial"/>
                <w:sz w:val="18"/>
                <w:szCs w:val="18"/>
              </w:rPr>
              <w:t xml:space="preserve"> nebo </w:t>
            </w:r>
            <w:proofErr w:type="spellStart"/>
            <w:r w:rsidRPr="0009399B">
              <w:rPr>
                <w:rFonts w:cs="Arial"/>
                <w:sz w:val="18"/>
                <w:szCs w:val="18"/>
              </w:rPr>
              <w:t>Nellcor</w:t>
            </w:r>
            <w:proofErr w:type="spellEnd"/>
            <w:r w:rsidRPr="0009399B">
              <w:rPr>
                <w:rFonts w:cs="Arial"/>
                <w:sz w:val="18"/>
                <w:szCs w:val="18"/>
              </w:rPr>
              <w:t xml:space="preserve"> technologie.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1A417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0FDB8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23CE1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7366770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CF21C7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F3AED0E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2A4F42D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2E0C90D1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AC39E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Měření neinvazívního tlaku s odděleným inflačním a měřícím systémem, dvouhadicové </w:t>
            </w:r>
            <w:r w:rsidRPr="0009399B">
              <w:rPr>
                <w:rFonts w:cs="Arial"/>
                <w:sz w:val="18"/>
                <w:szCs w:val="18"/>
              </w:rPr>
              <w:t>propojení do monitoru pro přesnější měření.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F65F2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6D280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64D51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27D10DF2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A10B78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E5CD1B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9E62B01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63195C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C7865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min. 2 teplot (čidla pro měření rektální/jícnové teploty).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385B1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CD0AF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EAD4E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609B5A1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2DCB6A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8589770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9B66AF1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010DC9B1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C31FD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a zobrazení volitelně až 4 invazivních tlaků dle volby současně.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674F4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7768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E7E30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53ABD41F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1F59D8E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6AA0077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2E0B1B3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723999FF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FF3E7C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Měření SPV a PPV se zobrazením na příslušném monitoru.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0CC17B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67595D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DC345B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68D14C4A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068ACC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AB9AF8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08FA856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531369A2" w14:textId="77777777" w:rsidTr="00ED0595">
        <w:trPr>
          <w:gridAfter w:val="1"/>
          <w:wAfter w:w="75" w:type="dxa"/>
          <w:trHeight w:val="567"/>
        </w:trPr>
        <w:tc>
          <w:tcPr>
            <w:tcW w:w="935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26D5B2AA" w14:textId="77777777" w:rsidR="00ED0595" w:rsidRPr="005F12C3" w:rsidRDefault="00ED0595" w:rsidP="00FD7A0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Telemeterie</w:t>
            </w:r>
            <w:proofErr w:type="spellEnd"/>
            <w:r>
              <w:rPr>
                <w:rFonts w:cs="Arial"/>
                <w:b/>
                <w:bCs/>
                <w:color w:val="000000"/>
                <w:szCs w:val="20"/>
              </w:rPr>
              <w:t xml:space="preserve"> (pro 6 pacientů)</w:t>
            </w:r>
          </w:p>
        </w:tc>
        <w:tc>
          <w:tcPr>
            <w:tcW w:w="3038" w:type="dxa"/>
            <w:vAlign w:val="center"/>
          </w:tcPr>
          <w:p w14:paraId="6F33F44E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730384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FEC54B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87A9E30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229E139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84FA8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Specifikace systému: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4B7C5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AF54F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18B07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3A0F4F47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861386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4BE7B1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A845AD9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6A159F1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2831D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Zobrazování 4 svodů EKG křivky včetně alarmů na centrální monitorovací stanici umístěné na INT JIP.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CC1A8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E26DE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5EE84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066BE59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453AF10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96FF784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77762C9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0F40DB9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45E83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Telemetrický server </w:t>
            </w:r>
            <w:r w:rsidRPr="0009399B">
              <w:rPr>
                <w:rFonts w:cs="Arial"/>
                <w:sz w:val="18"/>
                <w:szCs w:val="18"/>
              </w:rPr>
              <w:t>a přijímač pro 6 pacientů, software pro 6 pacientů s možností dalšího rozšíření.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AB3CA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00AF3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0D975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31D3146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9C378E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B0237E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F2811D5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7E8F2841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50712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Telemetrické </w:t>
            </w:r>
            <w:r w:rsidRPr="0009399B">
              <w:rPr>
                <w:rFonts w:cs="Arial"/>
                <w:sz w:val="18"/>
                <w:szCs w:val="18"/>
              </w:rPr>
              <w:t xml:space="preserve">vysílače pro 6 pacientů.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D27DC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F1975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08522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1FD024D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F2254DA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31DF5A1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F64F170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78B5BBC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84C42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1065" w:hanging="1065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lastRenderedPageBreak/>
              <w:t>Algoritmus analýzy EK pro.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2698D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81D70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E3C02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58210F5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75644B1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395E3B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84E8E4B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76D4C879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15D63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Tlačítko pro přivolání sestry.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8A3AA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B7E9C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4F5F3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2A1C2580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4D7582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45D6992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EA7CF9F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63123EC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BAF42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Označení události.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F66FF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F0D52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EBD9C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676CD3B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502658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7FE9EC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E1EEA60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013C6883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FA406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Krytí IPX7 odolnost proti vodě.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44F72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8BD60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5FA78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5B16AB54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FB7984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159785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06A8350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6362EEBC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211E8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Led signalizace slabé baterie.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59A1E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65603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E74E6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78978427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7B5BBE2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1F5C6B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CD50664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3FC1DF9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D9C47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LED diody pro analýzu kvality signálu každého svodu.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144E8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D4E72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76745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7511A591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109B445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C559A01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B01D128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6B24A5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BB1FF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sz w:val="18"/>
                <w:szCs w:val="18"/>
              </w:rPr>
              <w:t xml:space="preserve">Možnost rozšíření o saturace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Masimo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84D11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15F51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26D9B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78B3C29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33C7791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1C3BA62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CD23119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0BFF99A1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0FFF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Baterie do všech vysílačů 2 ks standardní AA články 1,5 V, životnost 40 až 110 hodin, provoz není na akumulátory.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19767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A4E97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5E094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02C572FF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BD96352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DC433F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B0A0F74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235099E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569B6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Odolnost proti pádu.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55C1C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B74B7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96274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4D52CB0A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C4422B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CF579E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052C3F9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0A56BF8F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EA3EE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Vícesvodový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algoritmus analýzy EKG, až 5 svodová simultánní analýza a detekce arytmií, ST segmentu, detekce fibrilace síní, detekce pacemakeru, duální V svody.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3976A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46898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D53B5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3760FAF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E8939D1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17BB71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22C58C8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2914FF4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F8EB1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Brašny pro vysílač omyvatelné nebo k vyprání, včetně závěsu na krk.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1E98E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9AA7A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DE582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436A883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8F9681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31B5C0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BA737D1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B0AF136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22308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Na centrále JIP možnost okamžitého vytisknutí záznamu EKG křivky.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6B462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30293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67554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011FECA4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0C600E2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71CA58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1065580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7921CA1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452B4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Anténní pokrytí interní odd. předpoklad 4 antén.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56BB4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1A798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72578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4BE54FB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73051F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3C5177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B222CE9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203C87EC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2162B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Telemetrický server, přijímač kompatibilní antény v povoleném pásmu přenosových frekvencí 420 </w:t>
            </w:r>
            <w:r w:rsidRPr="0009399B">
              <w:rPr>
                <w:rFonts w:cs="Arial"/>
                <w:sz w:val="18"/>
                <w:szCs w:val="18"/>
              </w:rPr>
              <w:t>až 459 MHz s garancí výrobce minimálního rušení radiového přenosu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92C64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8B7B8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CDAF2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54F84C3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49156D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6BE378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A65D8D7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095ADCB6" w14:textId="77777777" w:rsidTr="00ED0595">
        <w:trPr>
          <w:gridAfter w:val="1"/>
          <w:wAfter w:w="75" w:type="dxa"/>
          <w:trHeight w:val="567"/>
        </w:trPr>
        <w:tc>
          <w:tcPr>
            <w:tcW w:w="935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4D373E14" w14:textId="77777777" w:rsidR="00ED0595" w:rsidRPr="00B87176" w:rsidRDefault="00ED0595" w:rsidP="00FD7A0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Centrální monitorovací stanice (1 ks)</w:t>
            </w:r>
          </w:p>
        </w:tc>
        <w:tc>
          <w:tcPr>
            <w:tcW w:w="3038" w:type="dxa"/>
            <w:vAlign w:val="center"/>
          </w:tcPr>
          <w:p w14:paraId="5B555AD5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48A87D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18A944F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C685392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4C974DF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D1FACB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Certifikované medicínské zařízení jako součást monitorovací sítě.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8F454A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62185A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4D00E6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4D2846FA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D37D35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1B38760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F5D2E63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66DD511F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53E85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sz w:val="18"/>
                <w:szCs w:val="18"/>
              </w:rPr>
              <w:t xml:space="preserve">Připojení se stávajícími monitory B125 výrobce GE </w:t>
            </w:r>
            <w:proofErr w:type="spellStart"/>
            <w:r w:rsidRPr="0009399B">
              <w:rPr>
                <w:rFonts w:cs="Arial"/>
                <w:sz w:val="18"/>
                <w:szCs w:val="18"/>
              </w:rPr>
              <w:t>Healthcare</w:t>
            </w:r>
            <w:proofErr w:type="spellEnd"/>
            <w:r w:rsidRPr="0009399B">
              <w:rPr>
                <w:rFonts w:cs="Arial"/>
                <w:sz w:val="18"/>
                <w:szCs w:val="18"/>
              </w:rPr>
              <w:t xml:space="preserve"> i novými soutěženými monitory.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C2DEF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B1DCF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3954C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4DC34B44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82B548E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157B82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D40B7F0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449CD23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37DF17F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sz w:val="18"/>
                <w:szCs w:val="18"/>
              </w:rPr>
              <w:t>Sledování a ovládání až 16 monitorů nebo telemetrie.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A669CF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35E76B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FBB6B6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519D187E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2C17257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24C41E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2893400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4164F00B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98F9A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Detailní zobrazení libovolného lůžkového monitoru.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6D7F1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71FF4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1A098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09AAAF9A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41F6C40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488D420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03EB9A6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EAA7ED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9AE8F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Sledování minimálně 4 křivek všech pacientů na jedné obrazovce.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A989E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D91C1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D8755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5C5DA93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031549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F86BB6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ED07878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364922F3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FEF12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Zobrazení, vyhodnocení, ukládání a tisk alarmových událostí.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34287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C2FB3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ECD35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1D43224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387B8B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8C62F0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607049F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0598D6F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EA04A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Zobrazení, vyhodnocení, ukládání a tisk grafických a numerických trendů za 24 hod.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812D2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6D742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CD811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5B99DCE4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8BBF311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D689DA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174FEA3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4963C5CC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3831C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lastRenderedPageBreak/>
              <w:t>Archivace, zobrazení a tisk minimálně 4 kompletních křivek od kteréhokoliv ze sledovaných pacientů za posledních 24 hod.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9B451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77DE4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54E0D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1B60015F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D21594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36AC260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1AF9E97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4949C633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7ECC5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Režim pro detailní zobrazení vybraného monitoru s funkcí zadání základních údajů o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pacientovi a s funkcí ovládání monitoru dálkově (nastavení alarmů atd.).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2FAE3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FAE95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954FB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7FEE0CA1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A676875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C1F46F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6F2523C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9A996F0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57CDA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Uživatelské rozhraní v ČJ, ovládání klávesnicí a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09399B">
              <w:rPr>
                <w:rFonts w:cs="Arial"/>
                <w:color w:val="000000"/>
                <w:sz w:val="18"/>
                <w:szCs w:val="18"/>
              </w:rPr>
              <w:t>myší.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3875F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D089F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0B60C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294AE9F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CFBCF71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3521F6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08BAE46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EA8939B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0310F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2 ks ploché displeje min 22“.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6C4F1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E501B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3EDB4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288300B0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4BE21C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D23825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64C781B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4CD2D856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35516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Síťová laserová tiskárna.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3F42E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B2B41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72C57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57CD1A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08401E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3490B7F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44B0386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5FB82FB9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23EF9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Velkoplošná obrazovka pro celkový náhled pacientů včetně zobrazení alarmů.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6A73A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A54EE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907C7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14C248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123051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7875BD7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EDAECB8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29D7972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BC72A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Veškeré prvky pro ovládání a propojení monitorů s centrálou.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472DF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79BF7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5376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AD98BB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6D2C281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E7C979E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CD1708D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23ECBC66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DB8E2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Propojení a instalace vč. kabelového datového propojení (rozvodů), komunikace se stávající centrální stanicí.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AA585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CBCF9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A9E9C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6438DC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8A2F39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E67E210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2586377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3208F882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46BAC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Využití stávajících rozvodů za podmínky plné záruky na veškeré repasované a obnovené části.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37E6C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5E65F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3D55A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22ACCDD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A626DE7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D1F0FD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BB035B2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55D33385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25D09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Prohlášení výrobce o kybernetické bezpečnosti (MDS)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7D286" w14:textId="77777777" w:rsidR="00ED0595" w:rsidRPr="00241E4F" w:rsidRDefault="00ED0595" w:rsidP="00FD7A0C">
            <w:pPr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437A0" w14:textId="77777777" w:rsidR="00ED0595" w:rsidRDefault="00ED0595" w:rsidP="00FD7A0C"/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6998A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center"/>
          </w:tcPr>
          <w:p w14:paraId="788D279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A3592C4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44C563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F94AD90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6B4FAF7E" w14:textId="77777777" w:rsidTr="00ED0595">
        <w:trPr>
          <w:gridAfter w:val="1"/>
          <w:wAfter w:w="75" w:type="dxa"/>
          <w:trHeight w:val="567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0B0BE28C" w14:textId="77777777" w:rsidR="00ED0595" w:rsidRPr="0016527C" w:rsidRDefault="00ED0595" w:rsidP="00FD7A0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E) Monitor vitálních funkcí 12“ – 1 ks – GP</w:t>
            </w:r>
          </w:p>
        </w:tc>
        <w:tc>
          <w:tcPr>
            <w:tcW w:w="3038" w:type="dxa"/>
            <w:vAlign w:val="center"/>
          </w:tcPr>
          <w:p w14:paraId="61FEC290" w14:textId="77777777" w:rsidR="00ED0595" w:rsidRDefault="00ED0595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vAlign w:val="center"/>
          </w:tcPr>
          <w:p w14:paraId="057B06E0" w14:textId="77777777" w:rsidR="00ED0595" w:rsidRDefault="00ED0595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vAlign w:val="center"/>
          </w:tcPr>
          <w:p w14:paraId="5BC37CD1" w14:textId="77777777" w:rsidR="00ED0595" w:rsidRDefault="00ED0595" w:rsidP="00FD7A0C">
            <w:pPr>
              <w:spacing w:after="160" w:line="259" w:lineRule="auto"/>
              <w:jc w:val="center"/>
            </w:pPr>
          </w:p>
        </w:tc>
        <w:tc>
          <w:tcPr>
            <w:tcW w:w="3119" w:type="dxa"/>
            <w:gridSpan w:val="2"/>
            <w:vAlign w:val="center"/>
          </w:tcPr>
          <w:p w14:paraId="759835AA" w14:textId="77777777" w:rsidR="00ED0595" w:rsidRDefault="00ED0595" w:rsidP="00FD7A0C">
            <w:pPr>
              <w:spacing w:after="160" w:line="259" w:lineRule="auto"/>
              <w:jc w:val="center"/>
            </w:pPr>
          </w:p>
        </w:tc>
      </w:tr>
      <w:tr w:rsidR="00ED0595" w14:paraId="7AA1B2B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0C74F9" w14:textId="77777777" w:rsidR="00ED0595" w:rsidRPr="0009399B" w:rsidRDefault="00ED0595" w:rsidP="00FD7A0C">
            <w:pPr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Modulární monitor s integrovaným displejem min 12“, rozlišením min. 1200x800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pix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s dotykovým ovládáním pro všechny věkové kategorie.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F06C91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81D71C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261E3F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6631EE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3A5000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BFEAEF0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489EEF9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B1C1CB3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527578" w14:textId="77777777" w:rsidR="00ED0595" w:rsidRPr="0009399B" w:rsidRDefault="00ED0595" w:rsidP="00FD7A0C">
            <w:pPr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Výstup pro připojení druhého nezávislého displeje libovolné velikosti (HDMI port).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7145A5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9CEF7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D5B5AA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8A7361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1D2E99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35852DF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E700928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4AE3E3C9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85B85A" w14:textId="77777777" w:rsidR="00ED0595" w:rsidRPr="0009399B" w:rsidRDefault="00ED0595" w:rsidP="00FD7A0C">
            <w:pPr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Minimálně 11 křivek a 4 číselné pole současně zobrazených na displeji.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FE0673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4A34A1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D1EFF0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25EE8FCC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C0F5522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341D2E5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F4450FE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5F7B3B1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A679C0" w14:textId="77777777" w:rsidR="00ED0595" w:rsidRPr="0009399B" w:rsidRDefault="00ED0595" w:rsidP="00FD7A0C">
            <w:pPr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Uložení monitorovaných hodnot do paměti po dobu min. 168 hodin a uložení min. 200 snímků obrazovky.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998B86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8A662D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7EA5AA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26A63204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0D9935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5F5C91E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131684E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49485763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9701DB" w14:textId="77777777" w:rsidR="00ED0595" w:rsidRPr="0009399B" w:rsidRDefault="00ED0595" w:rsidP="00FD7A0C">
            <w:pPr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Uložení monitorovaných hodnot do paměti po dobu min. 168 hodin a uložení min. 200 snímků obrazovky.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2EF058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C74C3D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C4AC0F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8098480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02D2687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F2BBE9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C3C885E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29EB227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4D579D" w14:textId="77777777" w:rsidR="00ED0595" w:rsidRPr="0009399B" w:rsidRDefault="00ED0595" w:rsidP="00FD7A0C">
            <w:pPr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Výstup USB pro připojení počítačové klávesnice, myši, čtečky čárových kódů, síťové propojení HL7, propojení na stávající centrální stanici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Carescape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-GE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Healthcare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D271C64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7919FF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E7143F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C0068BE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6BEE8D0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4F6385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4DC7E6E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4D480F00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962DA3" w14:textId="77777777" w:rsidR="00ED0595" w:rsidRPr="0009399B" w:rsidRDefault="00ED0595" w:rsidP="00FD7A0C">
            <w:pPr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Sledování životních funkcí pacienta (EKG, NIBP, SpO2, respirace, teplota).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618A19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FBD0A8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805BE7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252807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217287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D78A2A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8054581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5BE4E24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74421F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- EKG křivka se zobrazením min. 2 libovolných svodů.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199845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F37651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0EE6CE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24B93D7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1779C6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4B8E32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3EF3C31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0831043C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CA1D73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- NIBP dvouhadicovým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kabelemi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manžetou pro šetrné měření/naplnění a upuštění požadovaného tlaku oscilační metodou (ručně, automaticky,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statimově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D8CC8C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2BF5CC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814BE8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A49D0F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CE314E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EA50AEE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CA1045C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0B39018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B7C17DC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- SpO2 měření technologií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Masimo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nebo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Trusignal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>, možnost zobrazení PI (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perfuzní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index), PPV (pulse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pressure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variance), SPV (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systolic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pressure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varieance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>) pro určení odezvy infuzní léčby na srdeční výdej.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AC3740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D07467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0E91AC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CF74FC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6BD168F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F17308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7ACCCC9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633257B9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FC6EF6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- Respirace rozsah až 180 dechů/min. (pro nutnost monitorovat novorozence).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39A1D2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01AF95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B9CD1C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3EFE7DD1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42DA22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5B37DBA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1EB1931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503337AB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5C35D7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Integrovaný modulový box pro umístění dalšího modulu (min. CO2 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sidestream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>, 2x IBP), možnost připojení k externímu modulovému boxu pro měření více parametrů najednou.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8A4694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C294EC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D816FF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7F718BE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D7CFE4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F33A7AE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BB4BFEA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D936A1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EB75C8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Možnost přímého tisku na síťovou laserovou tiskárnu.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12719D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9D8CD3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3026A3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647069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DD4D03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844D21E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33D9BEB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63458760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5A384B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„</w:t>
            </w:r>
            <w:proofErr w:type="spellStart"/>
            <w:r w:rsidRPr="0009399B">
              <w:rPr>
                <w:rFonts w:cs="Arial"/>
                <w:color w:val="000000"/>
                <w:sz w:val="18"/>
                <w:szCs w:val="18"/>
              </w:rPr>
              <w:t>Stand</w:t>
            </w:r>
            <w:proofErr w:type="spellEnd"/>
            <w:r w:rsidRPr="0009399B">
              <w:rPr>
                <w:rFonts w:cs="Arial"/>
                <w:color w:val="000000"/>
                <w:sz w:val="18"/>
                <w:szCs w:val="18"/>
              </w:rPr>
              <w:t xml:space="preserve"> By“ režim – při odpojeném pacientovi bez alarmů.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2E6EB7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5A1151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56F1B2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F83060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08AA4D1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1E1A5FE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38A9C05D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72A0B86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6754AC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Minimálně čtyři různé alarmové úrovně (akustické a optické) dle priority.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2852C8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FC85B8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A2AD20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2D87F36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6952B9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3B6D637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844CE07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7022218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CF7421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Držáky pro upevnění monitorů včetně všech komponentů (např. displej, čtečka, modulový box) a propojení celého systému.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A6E3B1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79BEA3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935C0A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793EC9E4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8D41CFF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C695580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001FADF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6BB9A23A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E2A78B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Komunikace se všemi monitory v rámci oddělení.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425B82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BD662A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052E3A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7CB402A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B693D9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F6D65E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12EB6620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213CE870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918BA6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Zabudovaná kalkulačka pro výpočet dávkování léčiv.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A72D75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87A64B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0334FC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1E1461B2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0EF49B58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8F842DA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72994C3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15EC545B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ADE43C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Funkce elektronického návodu k ovládání na displeji monitoru.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199995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259D0E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06F735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6F4683EB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F3FBC2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B218EF7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1766422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3A96F8BC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6CDF08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Hmotnost monitoru max. 4 kg pro snadnější monitorování pacienta při transportu (bez baterie).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B503AF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5B18E1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D65470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467251AF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2AB4904D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6C1098C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53C152EC" w14:textId="77777777" w:rsidR="00ED0595" w:rsidRDefault="00ED0595" w:rsidP="00FD7A0C">
            <w:pPr>
              <w:spacing w:after="160" w:line="259" w:lineRule="auto"/>
            </w:pPr>
          </w:p>
        </w:tc>
      </w:tr>
      <w:tr w:rsidR="00ED0595" w14:paraId="660A216D" w14:textId="77777777" w:rsidTr="00ED0595">
        <w:trPr>
          <w:gridAfter w:val="1"/>
          <w:wAfter w:w="75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D10556" w14:textId="77777777" w:rsidR="00ED0595" w:rsidRPr="0009399B" w:rsidRDefault="00ED0595" w:rsidP="00FD7A0C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09399B">
              <w:rPr>
                <w:rFonts w:cs="Arial"/>
                <w:color w:val="000000"/>
                <w:sz w:val="18"/>
                <w:szCs w:val="18"/>
              </w:rPr>
              <w:t>Integrovaná baterie s kapacitou min. 4,5 h provozu vč. indikátoru výdrže na baterii i na displeji monitoru (výměna baterie bez použití nářadí).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C68132" w14:textId="77777777" w:rsidR="00ED0595" w:rsidRPr="00241E4F" w:rsidRDefault="00ED0595" w:rsidP="00FD7A0C">
            <w:pPr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57238C" w14:textId="77777777" w:rsidR="00ED0595" w:rsidRDefault="00ED0595" w:rsidP="00FD7A0C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FB772A" w14:textId="77777777" w:rsidR="00ED0595" w:rsidRPr="00BB7702" w:rsidRDefault="00ED0595" w:rsidP="00FD7A0C">
            <w:pPr>
              <w:rPr>
                <w:color w:val="FF0000"/>
              </w:rPr>
            </w:pPr>
          </w:p>
        </w:tc>
        <w:tc>
          <w:tcPr>
            <w:tcW w:w="3038" w:type="dxa"/>
            <w:vAlign w:val="bottom"/>
          </w:tcPr>
          <w:p w14:paraId="06178723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FA80D60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7D15F689" w14:textId="77777777" w:rsidR="00ED0595" w:rsidRDefault="00ED0595" w:rsidP="00FD7A0C">
            <w:pPr>
              <w:spacing w:after="160" w:line="259" w:lineRule="auto"/>
            </w:pPr>
          </w:p>
        </w:tc>
        <w:tc>
          <w:tcPr>
            <w:tcW w:w="3119" w:type="dxa"/>
            <w:gridSpan w:val="2"/>
            <w:vAlign w:val="center"/>
          </w:tcPr>
          <w:p w14:paraId="4E9FDDBB" w14:textId="77777777" w:rsidR="00ED0595" w:rsidRDefault="00ED0595" w:rsidP="00FD7A0C">
            <w:pPr>
              <w:spacing w:after="160" w:line="259" w:lineRule="auto"/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1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 xml:space="preserve">) a PACS ONN provede dodavatel v součinnosti s techniky útvaru ICT zadavatele. Součinnost s technikem útvaru ICT musí být </w:t>
      </w:r>
      <w:r w:rsidRPr="001F0B21">
        <w:rPr>
          <w:rFonts w:cs="Arial"/>
          <w:szCs w:val="20"/>
        </w:rPr>
        <w:lastRenderedPageBreak/>
        <w:t>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C21154">
      <w:pPr>
        <w:keepNext/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1"/>
    </w:p>
    <w:sectPr w:rsidR="00344E00" w:rsidRPr="0090248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EE0F3" w14:textId="77777777" w:rsidR="00BF2CA6" w:rsidRDefault="00BF2CA6" w:rsidP="00344E00">
      <w:r>
        <w:separator/>
      </w:r>
    </w:p>
  </w:endnote>
  <w:endnote w:type="continuationSeparator" w:id="0">
    <w:p w14:paraId="528FCEEB" w14:textId="77777777" w:rsidR="00BF2CA6" w:rsidRDefault="00BF2CA6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F07BA" w14:textId="77777777" w:rsidR="00BF2CA6" w:rsidRDefault="00BF2CA6" w:rsidP="00344E00">
      <w:r>
        <w:separator/>
      </w:r>
    </w:p>
  </w:footnote>
  <w:footnote w:type="continuationSeparator" w:id="0">
    <w:p w14:paraId="482CBD29" w14:textId="77777777" w:rsidR="00BF2CA6" w:rsidRDefault="00BF2CA6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D7225"/>
    <w:multiLevelType w:val="hybridMultilevel"/>
    <w:tmpl w:val="071047D6"/>
    <w:lvl w:ilvl="0" w:tplc="9014F24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630C5"/>
    <w:multiLevelType w:val="hybridMultilevel"/>
    <w:tmpl w:val="77E63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D7F1E"/>
    <w:multiLevelType w:val="hybridMultilevel"/>
    <w:tmpl w:val="6DB64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F2CE2"/>
    <w:multiLevelType w:val="hybridMultilevel"/>
    <w:tmpl w:val="071047D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D620A"/>
    <w:multiLevelType w:val="hybridMultilevel"/>
    <w:tmpl w:val="071047D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326EE9"/>
    <w:multiLevelType w:val="hybridMultilevel"/>
    <w:tmpl w:val="6A12B9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abstractNum w:abstractNumId="11" w15:restartNumberingAfterBreak="0">
    <w:nsid w:val="72435147"/>
    <w:multiLevelType w:val="hybridMultilevel"/>
    <w:tmpl w:val="B8A4E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B67848"/>
    <w:multiLevelType w:val="hybridMultilevel"/>
    <w:tmpl w:val="6950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4"/>
  </w:num>
  <w:num w:numId="2" w16cid:durableId="166481532">
    <w:abstractNumId w:val="3"/>
  </w:num>
  <w:num w:numId="3" w16cid:durableId="244343856">
    <w:abstractNumId w:val="2"/>
  </w:num>
  <w:num w:numId="4" w16cid:durableId="2100564579">
    <w:abstractNumId w:val="10"/>
  </w:num>
  <w:num w:numId="5" w16cid:durableId="217280895">
    <w:abstractNumId w:val="8"/>
  </w:num>
  <w:num w:numId="6" w16cid:durableId="1626734653">
    <w:abstractNumId w:val="0"/>
  </w:num>
  <w:num w:numId="7" w16cid:durableId="1146123740">
    <w:abstractNumId w:val="5"/>
  </w:num>
  <w:num w:numId="8" w16cid:durableId="1947957975">
    <w:abstractNumId w:val="9"/>
  </w:num>
  <w:num w:numId="9" w16cid:durableId="311908420">
    <w:abstractNumId w:val="12"/>
  </w:num>
  <w:num w:numId="10" w16cid:durableId="2139565481">
    <w:abstractNumId w:val="11"/>
  </w:num>
  <w:num w:numId="11" w16cid:durableId="654070763">
    <w:abstractNumId w:val="1"/>
  </w:num>
  <w:num w:numId="12" w16cid:durableId="399794632">
    <w:abstractNumId w:val="6"/>
  </w:num>
  <w:num w:numId="13" w16cid:durableId="18641989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5123B"/>
    <w:rsid w:val="0005233D"/>
    <w:rsid w:val="000652C6"/>
    <w:rsid w:val="0008645F"/>
    <w:rsid w:val="00093692"/>
    <w:rsid w:val="0009399B"/>
    <w:rsid w:val="0009563A"/>
    <w:rsid w:val="000962DD"/>
    <w:rsid w:val="000A45BB"/>
    <w:rsid w:val="000C0A53"/>
    <w:rsid w:val="000D2848"/>
    <w:rsid w:val="00102D28"/>
    <w:rsid w:val="001068BA"/>
    <w:rsid w:val="0011111A"/>
    <w:rsid w:val="00124470"/>
    <w:rsid w:val="00131D6F"/>
    <w:rsid w:val="00134CAF"/>
    <w:rsid w:val="001361B7"/>
    <w:rsid w:val="00163711"/>
    <w:rsid w:val="0016527C"/>
    <w:rsid w:val="001A4508"/>
    <w:rsid w:val="001B3041"/>
    <w:rsid w:val="001C5C3D"/>
    <w:rsid w:val="001D485B"/>
    <w:rsid w:val="001F58C4"/>
    <w:rsid w:val="00234B72"/>
    <w:rsid w:val="00271730"/>
    <w:rsid w:val="00277C21"/>
    <w:rsid w:val="002E62CF"/>
    <w:rsid w:val="00301D0B"/>
    <w:rsid w:val="003037DC"/>
    <w:rsid w:val="0032576C"/>
    <w:rsid w:val="00344E00"/>
    <w:rsid w:val="003465E0"/>
    <w:rsid w:val="00355F88"/>
    <w:rsid w:val="003560BC"/>
    <w:rsid w:val="00384F84"/>
    <w:rsid w:val="00385474"/>
    <w:rsid w:val="003A74A4"/>
    <w:rsid w:val="003B7A3A"/>
    <w:rsid w:val="003E513F"/>
    <w:rsid w:val="004672BA"/>
    <w:rsid w:val="0047555E"/>
    <w:rsid w:val="004A0646"/>
    <w:rsid w:val="004A1F36"/>
    <w:rsid w:val="004C4C29"/>
    <w:rsid w:val="004D1C34"/>
    <w:rsid w:val="004D2320"/>
    <w:rsid w:val="005508C9"/>
    <w:rsid w:val="00590F88"/>
    <w:rsid w:val="00592273"/>
    <w:rsid w:val="005C079C"/>
    <w:rsid w:val="005D377A"/>
    <w:rsid w:val="005D612F"/>
    <w:rsid w:val="005F05A0"/>
    <w:rsid w:val="005F12C3"/>
    <w:rsid w:val="005F16B1"/>
    <w:rsid w:val="00652A65"/>
    <w:rsid w:val="00667825"/>
    <w:rsid w:val="0068016E"/>
    <w:rsid w:val="006C247B"/>
    <w:rsid w:val="006E0413"/>
    <w:rsid w:val="006F5BE6"/>
    <w:rsid w:val="00722DE5"/>
    <w:rsid w:val="00741669"/>
    <w:rsid w:val="007E7D56"/>
    <w:rsid w:val="007F45C8"/>
    <w:rsid w:val="008146F8"/>
    <w:rsid w:val="00815FE5"/>
    <w:rsid w:val="00846273"/>
    <w:rsid w:val="008954C6"/>
    <w:rsid w:val="008C57DF"/>
    <w:rsid w:val="00902483"/>
    <w:rsid w:val="0090796A"/>
    <w:rsid w:val="009149FB"/>
    <w:rsid w:val="00924040"/>
    <w:rsid w:val="0093417D"/>
    <w:rsid w:val="00935C18"/>
    <w:rsid w:val="009B6A40"/>
    <w:rsid w:val="009F3BB4"/>
    <w:rsid w:val="00A014A4"/>
    <w:rsid w:val="00A1356F"/>
    <w:rsid w:val="00A31E1B"/>
    <w:rsid w:val="00A852FC"/>
    <w:rsid w:val="00AA00CE"/>
    <w:rsid w:val="00AC3A21"/>
    <w:rsid w:val="00AD6D5C"/>
    <w:rsid w:val="00AF394D"/>
    <w:rsid w:val="00B10D9C"/>
    <w:rsid w:val="00B12671"/>
    <w:rsid w:val="00B87176"/>
    <w:rsid w:val="00B946B9"/>
    <w:rsid w:val="00BA0C73"/>
    <w:rsid w:val="00BA362A"/>
    <w:rsid w:val="00BC5229"/>
    <w:rsid w:val="00BD21AF"/>
    <w:rsid w:val="00BF2CA6"/>
    <w:rsid w:val="00C049DB"/>
    <w:rsid w:val="00C17C12"/>
    <w:rsid w:val="00C21154"/>
    <w:rsid w:val="00C27360"/>
    <w:rsid w:val="00C379A8"/>
    <w:rsid w:val="00C63897"/>
    <w:rsid w:val="00C920C0"/>
    <w:rsid w:val="00C97E95"/>
    <w:rsid w:val="00CA52CD"/>
    <w:rsid w:val="00CA6B1A"/>
    <w:rsid w:val="00CC0D12"/>
    <w:rsid w:val="00CD5F39"/>
    <w:rsid w:val="00CE6ACC"/>
    <w:rsid w:val="00D008FB"/>
    <w:rsid w:val="00D06DAA"/>
    <w:rsid w:val="00D262AF"/>
    <w:rsid w:val="00D46395"/>
    <w:rsid w:val="00D52F77"/>
    <w:rsid w:val="00D57921"/>
    <w:rsid w:val="00DB4F76"/>
    <w:rsid w:val="00DB7BF1"/>
    <w:rsid w:val="00DC3685"/>
    <w:rsid w:val="00DC4B98"/>
    <w:rsid w:val="00DC7AD4"/>
    <w:rsid w:val="00DD4A34"/>
    <w:rsid w:val="00DF18DA"/>
    <w:rsid w:val="00DF1AED"/>
    <w:rsid w:val="00DF7302"/>
    <w:rsid w:val="00DF7DAB"/>
    <w:rsid w:val="00E5676E"/>
    <w:rsid w:val="00E609B9"/>
    <w:rsid w:val="00E60C63"/>
    <w:rsid w:val="00E615A7"/>
    <w:rsid w:val="00E62922"/>
    <w:rsid w:val="00E652F9"/>
    <w:rsid w:val="00E83E15"/>
    <w:rsid w:val="00EA09E0"/>
    <w:rsid w:val="00EB0484"/>
    <w:rsid w:val="00ED0595"/>
    <w:rsid w:val="00ED3D94"/>
    <w:rsid w:val="00ED63D1"/>
    <w:rsid w:val="00EF7A84"/>
    <w:rsid w:val="00F10FF7"/>
    <w:rsid w:val="00F141BA"/>
    <w:rsid w:val="00F50B21"/>
    <w:rsid w:val="00F51825"/>
    <w:rsid w:val="00F72F4E"/>
    <w:rsid w:val="00F96AFB"/>
    <w:rsid w:val="00FA1ADE"/>
    <w:rsid w:val="00FC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64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64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0E5FA-BEA7-4C02-8FFE-FE27AE2FD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4688</Words>
  <Characters>27662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